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press"/>
        <w:jc w:val="left"/>
        <w:rPr/>
      </w:pPr>
      <w:r>
        <w:rPr>
          <w:rStyle w:val="Starktbetonad"/>
        </w:rPr>
        <w:t xml:space="preserve">IntraVolution, </w:t>
      </w:r>
      <w:r>
        <w:rPr>
          <w:rStyle w:val="Starktbetonad"/>
          <w:b w:val="false"/>
          <w:bCs w:val="false"/>
        </w:rPr>
        <w:t>4</w:t>
      </w:r>
      <w:r>
        <w:rPr>
          <w:rStyle w:val="Starktbetonad"/>
          <w:b w:val="false"/>
          <w:bCs w:val="false"/>
          <w:i w:val="false"/>
          <w:iCs w:val="false"/>
        </w:rPr>
        <w:t>00g</w:t>
      </w:r>
    </w:p>
    <w:p>
      <w:pPr>
        <w:pStyle w:val="Rubrik2press"/>
        <w:jc w:val="left"/>
        <w:rPr/>
      </w:pPr>
      <w:r>
        <w:rPr>
          <w:rStyle w:val="Starktbetonad"/>
          <w:sz w:val="20"/>
          <w:szCs w:val="20"/>
        </w:rPr>
        <w:t>Art nr. 329</w:t>
      </w:r>
      <w:r>
        <w:rPr>
          <w:rStyle w:val="Starktbetonad"/>
          <w:b w:val="false"/>
          <w:bCs w:val="false"/>
          <w:sz w:val="20"/>
          <w:szCs w:val="20"/>
        </w:rPr>
        <w:t>, Orange</w:t>
      </w:r>
    </w:p>
    <w:p>
      <w:pPr>
        <w:pStyle w:val="Rubrik2press"/>
        <w:jc w:val="left"/>
        <w:rPr>
          <w:rStyle w:val="Starktbetonad"/>
          <w:rFonts w:ascii="Arial" w:hAnsi="Arial" w:cs="Arial"/>
          <w:b w:val="false"/>
          <w:b w:val="false"/>
          <w:bCs w:val="false"/>
          <w:color w:val="000000"/>
          <w:sz w:val="20"/>
          <w:szCs w:val="20"/>
        </w:rPr>
      </w:pPr>
      <w:r>
        <w:rPr>
          <w:rFonts w:cs="Arial"/>
          <w:b w:val="false"/>
          <w:bCs w:val="false"/>
          <w:color w:val="000000"/>
          <w:sz w:val="20"/>
          <w:szCs w:val="20"/>
        </w:rPr>
      </w:r>
    </w:p>
    <w:p>
      <w:pPr>
        <w:pStyle w:val="Rubrik2press"/>
        <w:jc w:val="left"/>
        <w:rPr/>
      </w:pPr>
      <w:r>
        <w:rPr>
          <w:rStyle w:val="Starktbetonad"/>
          <w:sz w:val="18"/>
          <w:szCs w:val="18"/>
        </w:rPr>
        <w:t>”</w:t>
      </w:r>
      <w:r>
        <w:rPr>
          <w:rStyle w:val="Starktbetonad"/>
          <w:sz w:val="18"/>
          <w:szCs w:val="18"/>
        </w:rPr>
        <w:t>INTRA – WORKOUT” formula</w:t>
      </w:r>
    </w:p>
    <w:p>
      <w:pPr>
        <w:pStyle w:val="Pressdokument"/>
        <w:rPr>
          <w:rFonts w:ascii="Arial" w:hAnsi="Arial"/>
          <w:b/>
          <w:b/>
          <w:bCs/>
          <w:sz w:val="20"/>
          <w:szCs w:val="20"/>
        </w:rPr>
      </w:pPr>
      <w:r>
        <w:rPr>
          <w:rFonts w:ascii="Arial" w:hAnsi="Arial"/>
          <w:b/>
          <w:bCs/>
          <w:sz w:val="18"/>
          <w:szCs w:val="18"/>
        </w:rPr>
        <w:t>Fairing Intravolution är ett kosttillskott avsett att användas under dina träningspass. Intravolution innehåller en hög dos essentiella aminosyror. Utöver dessa är Intravolution försedd med L-citrullinmalat, betain, och beta-alanin i syfte att förbättra din prestation under träningen genom att hjälpa kroppen att driva kväveoxid för förbättrat blodflöde men även att minimera mjölksyreproduktion. Den tillsatta elektrolytblandningen hjälper dig även med vätskebalansen under träningen.</w:t>
      </w:r>
    </w:p>
    <w:p>
      <w:pPr>
        <w:pStyle w:val="Pressdokument"/>
        <w:rPr>
          <w:rFonts w:ascii="Arial" w:hAnsi="Arial"/>
          <w:sz w:val="20"/>
          <w:szCs w:val="20"/>
        </w:rPr>
      </w:pPr>
      <w:r>
        <w:rPr>
          <w:rFonts w:ascii="Arial" w:hAnsi="Arial"/>
          <w:b/>
          <w:bCs/>
          <w:sz w:val="18"/>
          <w:szCs w:val="18"/>
        </w:rPr>
        <w:t>Hög halt essentiella aminosyror</w:t>
        <w:br/>
      </w:r>
      <w:r>
        <w:rPr>
          <w:rFonts w:ascii="Arial" w:hAnsi="Arial"/>
          <w:sz w:val="18"/>
          <w:szCs w:val="18"/>
        </w:rPr>
        <w:t>EAA är en förkortning för "Essential Amino Acids" vilket innefattar de livsnödvändiga aminosyrorna som kroppen inte kan tillverka själv. Intag av essentiella aminosyror kan ge en positiv effekt på din återhämtning och muskeluppbyggnad.</w:t>
      </w:r>
    </w:p>
    <w:p>
      <w:pPr>
        <w:pStyle w:val="Pressdokument"/>
        <w:rPr>
          <w:rFonts w:ascii="Arial" w:hAnsi="Arial"/>
          <w:sz w:val="20"/>
          <w:szCs w:val="20"/>
        </w:rPr>
      </w:pPr>
      <w:r>
        <w:rPr>
          <w:rFonts w:ascii="Arial" w:hAnsi="Arial"/>
          <w:b/>
          <w:bCs/>
          <w:sz w:val="18"/>
          <w:szCs w:val="18"/>
        </w:rPr>
        <w:t>Citrullin, ett förstadium till Arginin.</w:t>
        <w:br/>
      </w:r>
      <w:r>
        <w:rPr>
          <w:rFonts w:ascii="Arial" w:hAnsi="Arial"/>
          <w:sz w:val="18"/>
          <w:szCs w:val="18"/>
        </w:rPr>
        <w:t>L-Citrullinmalat är en kombination av aminosyran citrullin och äppelsyra (malat) som ökar kroppens produktion av kväveoxid som får blodkärlen att slappna av och således gör att mer blod, syre och och näring transporteras ut till musklerna. Det ökade blodflödet kan i sin tur leda till en bättre pump och prestationsförmåga.</w:t>
      </w:r>
    </w:p>
    <w:p>
      <w:pPr>
        <w:pStyle w:val="Pressdokument"/>
        <w:rPr>
          <w:rFonts w:ascii="Arial" w:hAnsi="Arial"/>
          <w:sz w:val="20"/>
          <w:szCs w:val="20"/>
        </w:rPr>
      </w:pPr>
      <w:r>
        <w:rPr>
          <w:rFonts w:ascii="Arial" w:hAnsi="Arial"/>
          <w:b/>
          <w:bCs/>
          <w:sz w:val="18"/>
          <w:szCs w:val="18"/>
        </w:rPr>
        <w:t>Betain</w:t>
        <w:br/>
      </w:r>
      <w:r>
        <w:rPr>
          <w:rFonts w:ascii="Arial" w:hAnsi="Arial"/>
          <w:sz w:val="18"/>
          <w:szCs w:val="18"/>
        </w:rPr>
        <w:t xml:space="preserve">Trimetylglycin, som även förkortas TMG eller vardagligt nämns som betain är ett derivat av aminosyran glycin. Betain är ett kosttillskott med studier bakom sig som stödjer väldigt snabba kraftökningar (Hoffman et al, 2009). </w:t>
      </w:r>
    </w:p>
    <w:p>
      <w:pPr>
        <w:pStyle w:val="Pressdokument"/>
        <w:rPr>
          <w:sz w:val="18"/>
          <w:szCs w:val="18"/>
        </w:rPr>
      </w:pPr>
      <w:r>
        <w:rPr>
          <w:rFonts w:ascii="Arial" w:hAnsi="Arial"/>
          <w:b/>
          <w:bCs/>
          <w:sz w:val="18"/>
          <w:szCs w:val="18"/>
        </w:rPr>
        <w:t>Beta-Alanin, drivare av karnosin.</w:t>
        <w:br/>
      </w:r>
      <w:r>
        <w:rPr>
          <w:rFonts w:ascii="Arial" w:hAnsi="Arial"/>
          <w:sz w:val="18"/>
          <w:szCs w:val="18"/>
        </w:rPr>
        <w:t>Beta-Alanin är en aminosyra som till skillnad från de som bildar muskelprotein istället hjälper kroppen att öka nivåerna av karnosin i musklerna. Karnosin i sin tur bidrar med buffrande mekanismer som hjälper till att normalisera pH värdet i blodet under intensiv träning, en sur miljö i musklerna kan i stället begränsa din prestation genom att bland annat störa muskelkontraktioner.</w:t>
      </w:r>
    </w:p>
    <w:p>
      <w:pPr>
        <w:pStyle w:val="Pressdokument"/>
        <w:rPr/>
      </w:pPr>
      <w:r>
        <w:rPr>
          <w:rFonts w:ascii="Arial" w:hAnsi="Arial"/>
          <w:b/>
          <w:bCs/>
          <w:sz w:val="18"/>
          <w:szCs w:val="18"/>
        </w:rPr>
        <w:t>Komplett formula av elektrolyter natrium, kalcium, magnesium och kalium.</w:t>
        <w:br/>
      </w:r>
      <w:r>
        <w:rPr>
          <w:rFonts w:ascii="Arial" w:hAnsi="Arial"/>
          <w:sz w:val="18"/>
          <w:szCs w:val="18"/>
        </w:rPr>
        <w:t xml:space="preserve">Natrium är essentiell för kroppens reglering av blodtryck och pH och bevarandet av kroppens vätskebalans. Kalcium deltar i energimetabolismen, i matsmältningen via regleringen av enzymer och till normal muskelfunktion via nervsystemet. Magnesium deltar i proteinsyntesen, i regleringen av energi- och elektrolytbalansen, i normal muskelfunktion via nervsystemet och reducerar trötthet och utmattning. Kalium bidrar till att upprätthålla normal muskel- och nervfunktion. Tillsammans med komplexa kolhydrater bidrar nämnda mineraler till </w:t>
      </w:r>
      <w:r>
        <w:rPr>
          <w:rStyle w:val="Starktbetonad"/>
          <w:rFonts w:ascii="Arial" w:hAnsi="Arial"/>
          <w:b w:val="false"/>
          <w:bCs w:val="false"/>
          <w:sz w:val="18"/>
          <w:szCs w:val="18"/>
        </w:rPr>
        <w:t>ökad uthållighet och prestation.</w:t>
      </w:r>
    </w:p>
    <w:p>
      <w:pPr>
        <w:pStyle w:val="Rubrik4press"/>
        <w:rPr>
          <w:sz w:val="18"/>
          <w:szCs w:val="18"/>
        </w:rPr>
      </w:pPr>
      <w:r>
        <w:rPr>
          <w:sz w:val="18"/>
          <w:szCs w:val="18"/>
        </w:rPr>
        <w:br/>
      </w:r>
      <w:r>
        <w:rPr>
          <w:rFonts w:ascii="Arial" w:hAnsi="Arial"/>
          <w:sz w:val="18"/>
          <w:szCs w:val="18"/>
        </w:rPr>
        <w:t>NETTOVIKT</w:t>
      </w:r>
    </w:p>
    <w:p>
      <w:pPr>
        <w:pStyle w:val="Brdtextpress"/>
        <w:rPr>
          <w:sz w:val="18"/>
          <w:szCs w:val="18"/>
        </w:rPr>
      </w:pPr>
      <w:r>
        <w:rPr>
          <w:rFonts w:cs="Arial" w:ascii="Arial" w:hAnsi="Arial"/>
          <w:b w:val="false"/>
          <w:bCs w:val="false"/>
          <w:sz w:val="18"/>
          <w:szCs w:val="18"/>
        </w:rPr>
        <w:t>400g (ca 19 serveringar)</w:t>
      </w:r>
    </w:p>
    <w:p>
      <w:pPr>
        <w:pStyle w:val="Rubrik4press"/>
        <w:rPr>
          <w:rFonts w:ascii="Arial" w:hAnsi="Arial" w:cs="Arial"/>
          <w:b/>
          <w:b/>
          <w:bCs/>
        </w:rPr>
      </w:pPr>
      <w:r>
        <w:rPr>
          <w:rFonts w:cs="Arial" w:ascii="Arial" w:hAnsi="Arial"/>
          <w:b/>
          <w:bCs/>
          <w:sz w:val="18"/>
          <w:szCs w:val="18"/>
        </w:rPr>
        <w:t>DOSERINGSSTORLEK</w:t>
      </w:r>
    </w:p>
    <w:p>
      <w:pPr>
        <w:pStyle w:val="Brdtextpress"/>
        <w:rPr>
          <w:sz w:val="18"/>
          <w:szCs w:val="18"/>
        </w:rPr>
      </w:pPr>
      <w:r>
        <w:rPr>
          <w:rFonts w:cs="Arial" w:ascii="Arial" w:hAnsi="Arial"/>
          <w:b w:val="false"/>
          <w:bCs w:val="false"/>
          <w:sz w:val="18"/>
          <w:szCs w:val="18"/>
        </w:rPr>
        <w:t>21g</w:t>
      </w:r>
    </w:p>
    <w:p>
      <w:pPr>
        <w:pStyle w:val="Rubrik4press"/>
        <w:rPr>
          <w:rFonts w:ascii="Arial" w:hAnsi="Arial"/>
          <w:sz w:val="20"/>
          <w:szCs w:val="20"/>
        </w:rPr>
      </w:pPr>
      <w:r>
        <w:rPr>
          <w:rFonts w:ascii="Arial" w:hAnsi="Arial"/>
          <w:sz w:val="18"/>
          <w:szCs w:val="18"/>
        </w:rPr>
        <w:t xml:space="preserve">DOSERING </w:t>
      </w:r>
    </w:p>
    <w:p>
      <w:pPr>
        <w:pStyle w:val="Normal"/>
        <w:rPr/>
      </w:pPr>
      <w:r>
        <w:rPr>
          <w:rStyle w:val="A5"/>
          <w:rFonts w:ascii="Arial" w:hAnsi="Arial"/>
          <w:sz w:val="18"/>
          <w:szCs w:val="18"/>
          <w:lang w:val="sv-SE"/>
        </w:rPr>
        <w:t>21 g (ca. strukna två skopor, 15 ml) blandas med 500 ml vatten</w:t>
      </w:r>
    </w:p>
    <w:p>
      <w:pPr>
        <w:pStyle w:val="Brdtextpress"/>
        <w:rPr/>
      </w:pPr>
      <w:r>
        <w:rPr>
          <w:rFonts w:ascii="Arial" w:hAnsi="Arial"/>
          <w:b/>
          <w:bCs/>
          <w:sz w:val="18"/>
          <w:szCs w:val="18"/>
        </w:rPr>
        <w:br/>
        <w:t xml:space="preserve">INGREDIENSER </w:t>
        <w:br/>
      </w:r>
      <w:r>
        <w:rPr>
          <w:rFonts w:ascii="Arial" w:hAnsi="Arial"/>
          <w:b w:val="false"/>
          <w:bCs/>
          <w:i w:val="false"/>
          <w:iCs/>
          <w:caps w:val="false"/>
          <w:smallCaps w:val="false"/>
          <w:color w:val="000000"/>
          <w:spacing w:val="0"/>
          <w:sz w:val="17"/>
          <w:szCs w:val="17"/>
        </w:rPr>
        <w:t>Ingredienser: aminosyror* (l-lysin, l-asparginsyra, l-leucine, l-alanin, glycine, glutaminsyra, l-prolin, l-treonin, l-isoleucin, l-valin, l-serin, l-fenylalanin, l-tyrosin, l-tryptofan, l-histidin, l-arginin, l-metionin, l-cystein) surhetsreglerande medel (äppelsyra) aromer, isomaltulos, inulin, sötningsmedel (sukralos, acesulfam-k) naturligt</w:t>
      </w:r>
      <w:r>
        <w:rPr>
          <w:rFonts w:ascii="Arial;serif" w:hAnsi="Arial;serif"/>
          <w:b w:val="false"/>
          <w:bCs/>
          <w:i w:val="false"/>
          <w:iCs/>
          <w:caps w:val="false"/>
          <w:smallCaps w:val="false"/>
          <w:color w:val="000000"/>
          <w:spacing w:val="0"/>
          <w:sz w:val="17"/>
          <w:szCs w:val="17"/>
        </w:rPr>
        <w:t xml:space="preserve"> färgämne (e160a)</w:t>
      </w:r>
      <w:r>
        <w:rPr>
          <w:b w:val="false"/>
          <w:bCs/>
          <w:i/>
          <w:iCs/>
          <w:caps w:val="false"/>
          <w:smallCaps w:val="false"/>
          <w:color w:val="000000"/>
          <w:spacing w:val="0"/>
          <w:sz w:val="17"/>
          <w:szCs w:val="17"/>
        </w:rPr>
        <w:t xml:space="preserve"> </w:t>
      </w:r>
      <w:r>
        <w:rPr>
          <w:b w:val="false"/>
          <w:bCs/>
          <w:i/>
          <w:iCs/>
          <w:caps w:val="false"/>
          <w:smallCaps w:val="false"/>
          <w:color w:val="000000"/>
          <w:spacing w:val="0"/>
          <w:sz w:val="20"/>
          <w:szCs w:val="20"/>
        </w:rPr>
        <w:br/>
        <w:br/>
      </w:r>
    </w:p>
    <w:tbl>
      <w:tblPr>
        <w:tblW w:w="4485" w:type="dxa"/>
        <w:jc w:val="left"/>
        <w:tblInd w:w="-30" w:type="dxa"/>
        <w:tblCellMar>
          <w:top w:w="55" w:type="dxa"/>
          <w:left w:w="55" w:type="dxa"/>
          <w:bottom w:w="55" w:type="dxa"/>
          <w:right w:w="55" w:type="dxa"/>
        </w:tblCellMar>
      </w:tblPr>
      <w:tblGrid>
        <w:gridCol w:w="2264"/>
        <w:gridCol w:w="2220"/>
      </w:tblGrid>
      <w:tr>
        <w:trPr>
          <w:trHeight w:val="340" w:hRule="exact"/>
        </w:trPr>
        <w:tc>
          <w:tcPr>
            <w:tcW w:w="2264" w:type="dxa"/>
            <w:tcBorders>
              <w:top w:val="single" w:sz="2" w:space="0" w:color="000000"/>
              <w:left w:val="single" w:sz="2" w:space="0" w:color="000000"/>
              <w:bottom w:val="single" w:sz="2" w:space="0" w:color="000000"/>
            </w:tcBorders>
            <w:shd w:fill="auto" w:val="clear"/>
          </w:tcPr>
          <w:p>
            <w:pPr>
              <w:pStyle w:val="Tabellinnehll"/>
              <w:spacing w:before="0" w:after="160"/>
              <w:rPr>
                <w:b/>
                <w:b/>
                <w:bCs/>
                <w:sz w:val="16"/>
                <w:szCs w:val="16"/>
              </w:rPr>
            </w:pPr>
            <w:r>
              <w:rPr>
                <w:b/>
                <w:bCs/>
                <w:sz w:val="16"/>
                <w:szCs w:val="16"/>
              </w:rPr>
              <w:t>Innehåll per</w:t>
            </w:r>
          </w:p>
        </w:tc>
        <w:tc>
          <w:tcPr>
            <w:tcW w:w="2220"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b/>
                <w:b/>
                <w:bCs/>
                <w:sz w:val="16"/>
                <w:szCs w:val="16"/>
              </w:rPr>
            </w:pPr>
            <w:r>
              <w:rPr>
                <w:b/>
                <w:bCs/>
                <w:sz w:val="16"/>
                <w:szCs w:val="16"/>
              </w:rPr>
              <w:t>Servering (21g)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leucin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4000 mg</w:t>
            </w:r>
          </w:p>
        </w:tc>
      </w:tr>
      <w:tr>
        <w:trPr>
          <w:trHeight w:val="340" w:hRule="exact"/>
        </w:trPr>
        <w:tc>
          <w:tcPr>
            <w:tcW w:w="2264" w:type="dxa"/>
            <w:tcBorders>
              <w:left w:val="single" w:sz="2" w:space="0" w:color="000000"/>
              <w:bottom w:val="single" w:sz="2" w:space="0" w:color="000000"/>
            </w:tcBorders>
            <w:shd w:fill="auto" w:val="clear"/>
          </w:tcPr>
          <w:p>
            <w:pPr>
              <w:pStyle w:val="Normal"/>
              <w:spacing w:before="0" w:after="160"/>
              <w:rPr>
                <w:rFonts w:ascii="Calibri" w:hAnsi="Calibri"/>
                <w:sz w:val="16"/>
                <w:szCs w:val="16"/>
              </w:rPr>
            </w:pPr>
            <w:r>
              <w:rPr>
                <w:rFonts w:cs="Arial"/>
                <w:b w:val="false"/>
                <w:bCs w:val="false"/>
                <w:sz w:val="16"/>
                <w:szCs w:val="16"/>
              </w:rPr>
              <w:t>Citrullin-DL-malat</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rFonts w:ascii="Calibri" w:hAnsi="Calibri"/>
                <w:sz w:val="16"/>
                <w:szCs w:val="16"/>
              </w:rPr>
            </w:pPr>
            <w:r>
              <w:rPr>
                <w:sz w:val="16"/>
                <w:szCs w:val="16"/>
              </w:rPr>
              <w:t>3000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 valin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2000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 isoleucin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2000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Beta Alanin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 lysin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 fenylalanin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600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Trimetylglycin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500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Kreatinmonohydrat</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500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DL - metionin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 treonin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L - tryptofan</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80 mg</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Kalium</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612 mg      (31%*)</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Kalcium</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100 mg      (13%*)</w:t>
            </w:r>
          </w:p>
        </w:tc>
      </w:tr>
      <w:tr>
        <w:trPr>
          <w:trHeight w:val="340"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Magnesium</w:t>
            </w:r>
          </w:p>
        </w:tc>
        <w:tc>
          <w:tcPr>
            <w:tcW w:w="2220"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100 mg      (27%*)</w:t>
            </w:r>
          </w:p>
        </w:tc>
      </w:tr>
    </w:tbl>
    <w:p>
      <w:pPr>
        <w:pStyle w:val="Normal"/>
        <w:tabs>
          <w:tab w:val="clear" w:pos="1304"/>
          <w:tab w:val="left" w:pos="1005" w:leader="none"/>
        </w:tabs>
        <w:rPr/>
      </w:pPr>
      <w:r>
        <w:rPr>
          <w:rStyle w:val="A5"/>
          <w:rFonts w:cs="Times New Roman" w:ascii="Arial" w:hAnsi="Arial"/>
          <w:sz w:val="16"/>
          <w:szCs w:val="16"/>
          <w:lang w:val="sv-SE"/>
        </w:rPr>
        <w:t xml:space="preserve"> </w:t>
      </w:r>
      <w:r>
        <w:rPr>
          <w:rFonts w:cs="Times;Times New Roman"/>
          <w:b/>
          <w:bCs/>
          <w:i/>
          <w:iCs/>
          <w:caps/>
          <w:sz w:val="16"/>
          <w:szCs w:val="16"/>
          <w:lang w:val="sv-SE"/>
        </w:rPr>
        <w:t>* %RDI</w:t>
      </w:r>
    </w:p>
    <w:p>
      <w:pPr>
        <w:pStyle w:val="Normal"/>
        <w:rPr>
          <w:rFonts w:ascii="Times;Times New Roman" w:hAnsi="Times;Times New Roman" w:cs="Times;Times New Roman"/>
          <w:b/>
          <w:b/>
          <w:bCs/>
          <w:caps/>
          <w:sz w:val="16"/>
          <w:szCs w:val="16"/>
          <w:lang w:val="sv-SE"/>
        </w:rPr>
      </w:pPr>
      <w:r>
        <w:rPr>
          <w:rFonts w:cs="Times;Times New Roman" w:ascii="Times;Times New Roman" w:hAnsi="Times;Times New Roman"/>
          <w:b/>
          <w:bCs/>
          <w:caps/>
          <w:sz w:val="16"/>
          <w:szCs w:val="16"/>
          <w:lang w:val="sv-SE"/>
        </w:rPr>
      </w:r>
    </w:p>
    <w:p>
      <w:pPr>
        <w:pStyle w:val="Normal"/>
        <w:rPr/>
      </w:pPr>
      <w:r>
        <w:rPr>
          <w:rFonts w:cs="Times;Times New Roman" w:ascii="Times;Times New Roman" w:hAnsi="Times;Times New Roman"/>
          <w:b/>
          <w:bCs/>
          <w:caps/>
          <w:sz w:val="16"/>
          <w:szCs w:val="16"/>
          <w:lang w:val="sv-SE"/>
        </w:rPr>
        <w:t>Näringsinnehåll:</w:t>
      </w:r>
    </w:p>
    <w:tbl>
      <w:tblPr>
        <w:tblW w:w="6300" w:type="dxa"/>
        <w:jc w:val="left"/>
        <w:tblInd w:w="-30" w:type="dxa"/>
        <w:tblCellMar>
          <w:top w:w="55" w:type="dxa"/>
          <w:left w:w="55" w:type="dxa"/>
          <w:bottom w:w="55" w:type="dxa"/>
          <w:right w:w="55" w:type="dxa"/>
        </w:tblCellMar>
      </w:tblPr>
      <w:tblGrid>
        <w:gridCol w:w="2264"/>
        <w:gridCol w:w="2220"/>
        <w:gridCol w:w="1816"/>
      </w:tblGrid>
      <w:tr>
        <w:trPr>
          <w:trHeight w:val="369" w:hRule="exact"/>
        </w:trPr>
        <w:tc>
          <w:tcPr>
            <w:tcW w:w="2264" w:type="dxa"/>
            <w:tcBorders>
              <w:top w:val="single" w:sz="2" w:space="0" w:color="000000"/>
              <w:left w:val="single" w:sz="2" w:space="0" w:color="000000"/>
              <w:bottom w:val="single" w:sz="2" w:space="0" w:color="000000"/>
            </w:tcBorders>
            <w:shd w:fill="auto" w:val="clear"/>
          </w:tcPr>
          <w:p>
            <w:pPr>
              <w:pStyle w:val="Tabellinnehll"/>
              <w:spacing w:before="0" w:after="160"/>
              <w:rPr>
                <w:b/>
                <w:b/>
                <w:bCs/>
                <w:sz w:val="16"/>
                <w:szCs w:val="16"/>
              </w:rPr>
            </w:pPr>
            <w:r>
              <w:rPr>
                <w:b/>
                <w:bCs/>
                <w:sz w:val="16"/>
                <w:szCs w:val="16"/>
              </w:rPr>
              <w:t>Näringsvärde</w:t>
            </w:r>
          </w:p>
        </w:tc>
        <w:tc>
          <w:tcPr>
            <w:tcW w:w="2220" w:type="dxa"/>
            <w:tcBorders>
              <w:top w:val="single" w:sz="2" w:space="0" w:color="000000"/>
              <w:left w:val="single" w:sz="2" w:space="0" w:color="000000"/>
              <w:bottom w:val="single" w:sz="2" w:space="0" w:color="000000"/>
            </w:tcBorders>
            <w:shd w:fill="auto" w:val="clear"/>
          </w:tcPr>
          <w:p>
            <w:pPr>
              <w:pStyle w:val="Tabellinnehll"/>
              <w:spacing w:before="0" w:after="160"/>
              <w:rPr>
                <w:b/>
                <w:b/>
                <w:bCs/>
                <w:sz w:val="16"/>
                <w:szCs w:val="16"/>
              </w:rPr>
            </w:pPr>
            <w:r>
              <w:rPr>
                <w:b/>
                <w:bCs/>
                <w:sz w:val="16"/>
                <w:szCs w:val="16"/>
              </w:rPr>
              <w:t>Per 100g</w:t>
            </w:r>
          </w:p>
        </w:tc>
        <w:tc>
          <w:tcPr>
            <w:tcW w:w="1816" w:type="dxa"/>
            <w:tcBorders>
              <w:top w:val="single" w:sz="2" w:space="0" w:color="000000"/>
              <w:left w:val="single" w:sz="2" w:space="0" w:color="000000"/>
              <w:bottom w:val="single" w:sz="2" w:space="0" w:color="000000"/>
              <w:right w:val="single" w:sz="2" w:space="0" w:color="000000"/>
            </w:tcBorders>
            <w:shd w:fill="auto" w:val="clear"/>
          </w:tcPr>
          <w:p>
            <w:pPr>
              <w:pStyle w:val="Tabellinnehll"/>
              <w:spacing w:before="0" w:after="160"/>
              <w:rPr>
                <w:b/>
                <w:b/>
                <w:bCs/>
                <w:sz w:val="16"/>
                <w:szCs w:val="16"/>
              </w:rPr>
            </w:pPr>
            <w:r>
              <w:rPr>
                <w:b/>
                <w:bCs/>
                <w:sz w:val="16"/>
                <w:szCs w:val="16"/>
              </w:rPr>
              <w:t>Per portion 21g</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Energi</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1257 kj/ 301kcal</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251 kj/ 60 kcal</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Fett (g)</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0</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-varav fleromättat (g)</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0g</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0g</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Kolhydrater (g)</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0,3</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0,1</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-varav sockerarter (g)</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0,1 g</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0</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Protein (g)</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75</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15</w:t>
            </w:r>
          </w:p>
        </w:tc>
      </w:tr>
      <w:tr>
        <w:trPr>
          <w:trHeight w:val="369" w:hRule="exact"/>
        </w:trPr>
        <w:tc>
          <w:tcPr>
            <w:tcW w:w="2264"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Salt (g)</w:t>
            </w:r>
          </w:p>
        </w:tc>
        <w:tc>
          <w:tcPr>
            <w:tcW w:w="2220" w:type="dxa"/>
            <w:tcBorders>
              <w:left w:val="single" w:sz="2" w:space="0" w:color="000000"/>
              <w:bottom w:val="single" w:sz="2" w:space="0" w:color="000000"/>
            </w:tcBorders>
            <w:shd w:fill="auto" w:val="clear"/>
          </w:tcPr>
          <w:p>
            <w:pPr>
              <w:pStyle w:val="Tabellinnehll"/>
              <w:spacing w:before="0" w:after="160"/>
              <w:rPr>
                <w:sz w:val="16"/>
                <w:szCs w:val="16"/>
              </w:rPr>
            </w:pPr>
            <w:r>
              <w:rPr>
                <w:sz w:val="16"/>
                <w:szCs w:val="16"/>
              </w:rPr>
              <w:t>6,25</w:t>
            </w:r>
          </w:p>
        </w:tc>
        <w:tc>
          <w:tcPr>
            <w:tcW w:w="1816" w:type="dxa"/>
            <w:tcBorders>
              <w:left w:val="single" w:sz="2" w:space="0" w:color="000000"/>
              <w:bottom w:val="single" w:sz="2" w:space="0" w:color="000000"/>
              <w:right w:val="single" w:sz="2" w:space="0" w:color="000000"/>
            </w:tcBorders>
            <w:shd w:fill="auto" w:val="clear"/>
          </w:tcPr>
          <w:p>
            <w:pPr>
              <w:pStyle w:val="Tabellinnehll"/>
              <w:spacing w:before="0" w:after="160"/>
              <w:rPr>
                <w:sz w:val="16"/>
                <w:szCs w:val="16"/>
              </w:rPr>
            </w:pPr>
            <w:r>
              <w:rPr>
                <w:sz w:val="16"/>
                <w:szCs w:val="16"/>
              </w:rPr>
              <w:t>1,25</w:t>
            </w:r>
          </w:p>
        </w:tc>
      </w:tr>
    </w:tbl>
    <w:p>
      <w:pPr>
        <w:pStyle w:val="Pa2"/>
        <w:rPr>
          <w:rStyle w:val="A5"/>
          <w:b/>
          <w:b/>
          <w:bCs/>
          <w:caps/>
          <w:sz w:val="16"/>
          <w:szCs w:val="16"/>
          <w:lang w:val="sv-SE"/>
        </w:rPr>
      </w:pPr>
      <w:r>
        <w:rPr>
          <w:b/>
          <w:bCs/>
          <w:caps/>
          <w:sz w:val="16"/>
          <w:szCs w:val="16"/>
          <w:lang w:val="sv-SE"/>
        </w:rPr>
      </w:r>
    </w:p>
    <w:p>
      <w:pPr>
        <w:pStyle w:val="Rubrik4press"/>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Normal"/>
        <w:ind w:left="0" w:right="0" w:hanging="0"/>
        <w:rPr>
          <w:sz w:val="18"/>
          <w:szCs w:val="18"/>
        </w:rPr>
      </w:pPr>
      <w:r>
        <w:rPr>
          <w:sz w:val="18"/>
          <w:szCs w:val="18"/>
        </w:rPr>
      </w:r>
    </w:p>
    <w:p>
      <w:pPr>
        <w:pStyle w:val="Brdtext"/>
        <w:rPr>
          <w:sz w:val="18"/>
          <w:szCs w:val="18"/>
        </w:rPr>
      </w:pPr>
      <w:r>
        <w:rPr>
          <w:sz w:val="18"/>
          <w:szCs w:val="18"/>
        </w:rPr>
      </w:r>
    </w:p>
    <w:p>
      <w:pPr>
        <w:pStyle w:val="Rubrik4press"/>
        <w:rPr>
          <w:rFonts w:ascii="Arial" w:hAnsi="Arial"/>
          <w:sz w:val="18"/>
          <w:szCs w:val="18"/>
        </w:rPr>
      </w:pPr>
      <w:r>
        <w:rPr>
          <w:rFonts w:ascii="Arial" w:hAnsi="Arial"/>
          <w:sz w:val="18"/>
          <w:szCs w:val="18"/>
        </w:rPr>
        <w:t>ÖVRIGT</w:t>
      </w:r>
    </w:p>
    <w:p>
      <w:pPr>
        <w:pStyle w:val="Brdtextpress"/>
        <w:tabs>
          <w:tab w:val="clear" w:pos="1304"/>
          <w:tab w:val="left" w:pos="1005" w:leader="none"/>
        </w:tabs>
        <w:rPr/>
      </w:pPr>
      <w:r>
        <w:rPr>
          <w:rStyle w:val="A5"/>
          <w:rFonts w:cs="Times New Roman" w:ascii="Arial" w:hAnsi="Arial"/>
          <w:sz w:val="18"/>
          <w:szCs w:val="18"/>
          <w:lang w:val="sv-SE"/>
        </w:rPr>
        <w:t xml:space="preserve">Lämplig för vegetarianer och veganer. Innehåller sötningsmedel. </w:t>
      </w:r>
    </w:p>
    <w:p>
      <w:pPr>
        <w:pStyle w:val="Rubrik4press"/>
        <w:rPr>
          <w:sz w:val="18"/>
          <w:szCs w:val="18"/>
        </w:rPr>
      </w:pPr>
      <w:r>
        <w:rPr>
          <w:rFonts w:ascii="Arial" w:hAnsi="Arial"/>
          <w:sz w:val="18"/>
          <w:szCs w:val="18"/>
        </w:rPr>
        <w:t>FÖRVARING</w:t>
      </w:r>
    </w:p>
    <w:p>
      <w:pPr>
        <w:pStyle w:val="Brdtextpress"/>
        <w:rPr/>
      </w:pPr>
      <w:r>
        <w:rPr>
          <w:rStyle w:val="Starktbetonad"/>
          <w:rFonts w:ascii="Arial" w:hAnsi="Arial"/>
          <w:b w:val="false"/>
          <w:bCs w:val="false"/>
          <w:sz w:val="18"/>
          <w:szCs w:val="18"/>
        </w:rPr>
        <w:t>Torrt, svalt, väl förslutet och oåtkomligt för barn.</w:t>
      </w:r>
    </w:p>
    <w:p>
      <w:pPr>
        <w:pStyle w:val="Tabellfrteckningrubrik"/>
        <w:rPr/>
      </w:pPr>
      <w:r>
        <w:rPr>
          <w:rStyle w:val="Starktbetonad"/>
          <w:rFonts w:ascii="Arial" w:hAnsi="Arial"/>
          <w:b/>
          <w:bCs/>
          <w:sz w:val="18"/>
          <w:szCs w:val="18"/>
        </w:rPr>
        <w:t>ALLERGENER</w:t>
      </w:r>
      <w:r>
        <w:rPr>
          <w:rStyle w:val="Starktbetonad"/>
          <w:rFonts w:ascii="Arial" w:hAnsi="Arial"/>
          <w:b w:val="false"/>
          <w:bCs w:val="false"/>
          <w:sz w:val="18"/>
          <w:szCs w:val="18"/>
        </w:rPr>
        <w:br/>
      </w:r>
      <w:r>
        <w:rPr>
          <w:rStyle w:val="Starktbetonad"/>
          <w:rFonts w:ascii="Arial" w:hAnsi="Arial"/>
          <w:b w:val="false"/>
          <w:bCs w:val="false"/>
          <w:i w:val="false"/>
          <w:caps w:val="false"/>
          <w:smallCaps w:val="false"/>
          <w:color w:val="000000"/>
          <w:spacing w:val="0"/>
          <w:sz w:val="18"/>
          <w:szCs w:val="18"/>
        </w:rPr>
        <w:t>Kan innehålla spår av mjölk, ägg soja och havre.</w:t>
      </w:r>
      <w:r>
        <w:rPr>
          <w:rStyle w:val="Starktbetonad"/>
          <w:rFonts w:ascii="Arial" w:hAnsi="Arial"/>
          <w:b w:val="false"/>
          <w:bCs w:val="false"/>
          <w:sz w:val="18"/>
          <w:szCs w:val="18"/>
        </w:rPr>
        <w:t xml:space="preserve"> </w:t>
      </w:r>
    </w:p>
    <w:p>
      <w:pPr>
        <w:pStyle w:val="Rubrik4press"/>
        <w:rPr/>
      </w:pPr>
      <w:r>
        <w:rPr>
          <w:rStyle w:val="Starktbetonad"/>
          <w:rFonts w:ascii="Arial" w:hAnsi="Arial"/>
          <w:sz w:val="18"/>
          <w:szCs w:val="18"/>
        </w:rPr>
        <w:t xml:space="preserve">KOSTTILLSKOTT </w:t>
      </w:r>
    </w:p>
    <w:p>
      <w:pPr>
        <w:pStyle w:val="Normal"/>
        <w:rPr>
          <w:sz w:val="20"/>
          <w:szCs w:val="20"/>
        </w:rPr>
      </w:pPr>
      <w:r>
        <w:rPr>
          <w:rFonts w:cs="Arial" w:ascii="Arial" w:hAnsi="Arial"/>
          <w:b w:val="false"/>
          <w:bCs w:val="false"/>
          <w:sz w:val="18"/>
          <w:szCs w:val="18"/>
        </w:rPr>
        <w:t xml:space="preserve">Kosttillskott ersätter inte en varierad kost. Dosering bör inte överskridas. Innehåller sötningsmedel. Innehåller en källa till fenylalanin. Förvaras torrt och svalt, väl förslutet och oåtkomligt för barn. </w:t>
      </w:r>
    </w:p>
    <w:p>
      <w:pPr>
        <w:pStyle w:val="Rubrik4press"/>
        <w:rPr>
          <w:sz w:val="18"/>
          <w:szCs w:val="18"/>
        </w:rPr>
      </w:pPr>
      <w:r>
        <w:rPr>
          <w:rFonts w:ascii="Arial" w:hAnsi="Arial"/>
          <w:sz w:val="18"/>
          <w:szCs w:val="18"/>
        </w:rPr>
        <w:t xml:space="preserve">KVALITETSGARANTI </w:t>
      </w:r>
    </w:p>
    <w:p>
      <w:pPr>
        <w:pStyle w:val="Brdtextpress"/>
        <w:rPr>
          <w:sz w:val="18"/>
          <w:szCs w:val="18"/>
        </w:rPr>
      </w:pPr>
      <w:r>
        <w:rPr>
          <w:rFonts w:ascii="Arial" w:hAnsi="Arial"/>
          <w:sz w:val="18"/>
          <w:szCs w:val="18"/>
        </w:rPr>
        <w:t>Producerad i Sverige enligt rådande EU-normer.</w:t>
      </w:r>
    </w:p>
    <w:p>
      <w:pPr>
        <w:pStyle w:val="Tabellfrteckningrubrik"/>
        <w:rPr/>
      </w:pPr>
      <w:r>
        <w:rPr/>
      </w:r>
    </w:p>
    <w:p>
      <w:pPr>
        <w:pStyle w:val="Tabellfrteckningrubrik"/>
        <w:spacing w:before="240" w:after="120"/>
        <w:rPr/>
      </w:pPr>
      <w:r>
        <w:rPr/>
      </w:r>
    </w:p>
    <w:p>
      <w:pPr>
        <w:pStyle w:val="Tabellfrteckningrubrik"/>
        <w:spacing w:before="240" w:after="120"/>
        <w:rPr/>
      </w:pPr>
      <w:r>
        <w:rPr/>
      </w:r>
    </w:p>
    <w:p>
      <w:pPr>
        <w:pStyle w:val="Brdtextpress"/>
        <w:spacing w:before="240" w:after="120"/>
        <w:rPr/>
      </w:pPr>
      <w:r>
        <w:rPr>
          <w:sz w:val="24"/>
          <w:szCs w:val="24"/>
        </w:rPr>
        <w:br/>
        <w:br/>
        <w:br/>
        <w:br/>
        <w:br/>
        <w:br/>
        <w:br/>
      </w:r>
    </w:p>
    <w:p>
      <w:pPr>
        <w:pStyle w:val="Brdtextpress"/>
        <w:spacing w:before="240" w:after="120"/>
        <w:rPr>
          <w:sz w:val="24"/>
          <w:szCs w:val="24"/>
        </w:rPr>
      </w:pPr>
      <w:r>
        <w:rPr/>
      </w:r>
    </w:p>
    <w:p>
      <w:pPr>
        <w:pStyle w:val="Brdtextpress"/>
        <w:spacing w:before="240" w:after="120"/>
        <w:rPr>
          <w:sz w:val="24"/>
          <w:szCs w:val="24"/>
        </w:rPr>
      </w:pPr>
      <w:r>
        <w:rPr/>
      </w:r>
    </w:p>
    <w:p>
      <w:pPr>
        <w:pStyle w:val="Brdtextpress"/>
        <w:spacing w:before="240" w:after="120"/>
        <w:rPr>
          <w:sz w:val="24"/>
          <w:szCs w:val="24"/>
        </w:rPr>
      </w:pPr>
      <w:r>
        <w:rPr/>
      </w:r>
    </w:p>
    <w:p>
      <w:pPr>
        <w:pStyle w:val="Brdtextpress"/>
        <w:spacing w:before="240" w:after="120"/>
        <w:rPr>
          <w:sz w:val="16"/>
          <w:szCs w:val="16"/>
        </w:rPr>
      </w:pPr>
      <w:r>
        <w:rPr>
          <w:sz w:val="24"/>
          <w:szCs w:val="24"/>
        </w:rPr>
        <w:br/>
      </w:r>
    </w:p>
    <w:sectPr>
      <w:headerReference w:type="default" r:id="rId2"/>
      <w:footerReference w:type="default" r:id="rId3"/>
      <w:type w:val="nextPage"/>
      <w:pgSz w:w="11906" w:h="16838"/>
      <w:pgMar w:left="1440" w:right="1440" w:header="708" w:top="1440" w:footer="1440" w:bottom="19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yriad Pr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Myriad Pro Cond">
    <w:charset w:val="00"/>
    <w:family w:val="roman"/>
    <w:pitch w:val="variable"/>
  </w:font>
  <w:font w:name="Arial">
    <w:charset w:val="01"/>
    <w:family w:val="swiss"/>
    <w:pitch w:val="variable"/>
  </w:font>
  <w:font w:name="Arial">
    <w:altName w:val="serif"/>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2022-</w:t>
    </w:r>
    <w:r>
      <w:rPr/>
      <w:t>09</w:t>
    </w:r>
    <w:r>
      <w:rPr/>
      <w:t>-</w:t>
    </w:r>
    <w:r>
      <w:rPr/>
      <w:t>14</w:t>
    </w:r>
  </w:p>
  <w:p>
    <w:pPr>
      <w:pStyle w:val="Sidhuvud"/>
      <w:rPr/>
    </w:pPr>
    <w:r>
      <w:rPr/>
      <w:tab/>
      <w:tab/>
      <w:t>Produktblad: IntraVolution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Rubrik2"/>
      <w:numFmt w:val="none"/>
      <w:suff w:val="nothing"/>
      <w:lvlText w:val=""/>
      <w:lvlJc w:val="left"/>
      <w:pPr>
        <w:ind w:left="0" w:hanging="0"/>
      </w:pPr>
    </w:lvl>
    <w:lvl w:ilvl="2">
      <w:start w:val="1"/>
      <w:pStyle w:val="Rubrik3"/>
      <w:numFmt w:val="none"/>
      <w:suff w:val="nothing"/>
      <w:lvlText w:val=""/>
      <w:lvlJc w:val="left"/>
      <w:pPr>
        <w:ind w:left="0" w:hanging="0"/>
      </w:pPr>
    </w:lvl>
    <w:lvl w:ilvl="3">
      <w:start w:val="1"/>
      <w:numFmt w:val="none"/>
      <w:suff w:val="nothing"/>
      <w:lvlText w:val=""/>
      <w:lvlJc w:val="left"/>
      <w:pPr>
        <w:ind w:left="0" w:hanging="0"/>
      </w:pPr>
    </w:lvl>
    <w:lvl w:ilvl="4">
      <w:start w:val="1"/>
      <w:pStyle w:val="Rubri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link w:val="Sidhuvud"/>
    <w:uiPriority w:val="99"/>
    <w:qFormat/>
    <w:rsid w:val="00287257"/>
    <w:rPr/>
  </w:style>
  <w:style w:type="character" w:styleId="SidfotChar" w:customStyle="1">
    <w:name w:val="Sidfot Char"/>
    <w:basedOn w:val="DefaultParagraphFont"/>
    <w:link w:val="Sidfot"/>
    <w:uiPriority w:val="99"/>
    <w:qFormat/>
    <w:rsid w:val="00287257"/>
    <w:rPr/>
  </w:style>
  <w:style w:type="character" w:styleId="Starktbetonad">
    <w:name w:val="Starkt betonad"/>
    <w:qFormat/>
    <w:rPr>
      <w:b/>
      <w:bCs/>
    </w:rPr>
  </w:style>
  <w:style w:type="character" w:styleId="Internetlnk">
    <w:name w:val="Internetlänk"/>
    <w:rPr>
      <w:color w:val="000080"/>
      <w:u w:val="single"/>
      <w:lang w:val="zxx" w:eastAsia="zxx" w:bidi="zxx"/>
    </w:rPr>
  </w:style>
  <w:style w:type="character" w:styleId="Default">
    <w:name w:val="Default"/>
    <w:qFormat/>
    <w:rPr>
      <w:rFonts w:ascii="Myriad Pro" w:hAnsi="Myriad Pro" w:eastAsia="Myriad Pro" w:cs="Myriad Pro"/>
      <w:color w:val="000000"/>
      <w:sz w:val="24"/>
      <w:szCs w:val="24"/>
    </w:rPr>
  </w:style>
  <w:style w:type="character" w:styleId="A5">
    <w:name w:val="A5"/>
    <w:basedOn w:val="Default"/>
    <w:qFormat/>
    <w:rPr>
      <w:sz w:val="14"/>
      <w:szCs w:val="14"/>
    </w:rPr>
  </w:style>
  <w:style w:type="character" w:styleId="ListLabel1">
    <w:name w:val="ListLabel 1"/>
    <w:qFormat/>
    <w:rPr>
      <w:sz w:val="16"/>
      <w:szCs w:val="16"/>
    </w:rPr>
  </w:style>
  <w:style w:type="character" w:styleId="A4">
    <w:name w:val="A4"/>
    <w:basedOn w:val="Default"/>
    <w:qFormat/>
    <w:rPr>
      <w:sz w:val="14"/>
      <w:szCs w:val="14"/>
    </w:rPr>
  </w:style>
  <w:style w:type="character" w:styleId="ListLabel2">
    <w:name w:val="ListLabel 2"/>
    <w:qFormat/>
    <w:rPr>
      <w:sz w:val="16"/>
      <w:szCs w:val="16"/>
    </w:rPr>
  </w:style>
  <w:style w:type="character" w:styleId="Punktuppstllning">
    <w:name w:val="Punktuppställning"/>
    <w:qFormat/>
    <w:rPr>
      <w:rFonts w:ascii="OpenSymbol" w:hAnsi="OpenSymbol" w:eastAsia="OpenSymbol"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sz w:val="16"/>
      <w:szCs w:val="16"/>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sz w:val="16"/>
      <w:szCs w:val="16"/>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sz w:val="16"/>
      <w:szCs w:val="16"/>
    </w:rPr>
  </w:style>
  <w:style w:type="character" w:styleId="ListLabel33">
    <w:name w:val="ListLabel 33"/>
    <w:qFormat/>
    <w:rPr>
      <w:sz w:val="16"/>
      <w:szCs w:val="16"/>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Default1">
    <w:name w:val="Default"/>
    <w:qFormat/>
    <w:pPr>
      <w:widowControl w:val="false"/>
      <w:suppressAutoHyphens w:val="true"/>
      <w:overflowPunct w:val="true"/>
      <w:bidi w:val="0"/>
      <w:spacing w:lineRule="auto" w:line="259" w:before="0" w:after="160"/>
      <w:jc w:val="left"/>
    </w:pPr>
    <w:rPr>
      <w:rFonts w:ascii="Myriad Pro Cond" w:hAnsi="Myriad Pro Cond" w:eastAsia="SimSun" w:cs="Myriad Pro Cond"/>
      <w:color w:val="000000"/>
      <w:kern w:val="2"/>
      <w:sz w:val="24"/>
      <w:szCs w:val="24"/>
      <w:lang w:val="sv-SE" w:eastAsia="zh-CN" w:bidi="hi-IN"/>
    </w:rPr>
  </w:style>
  <w:style w:type="paragraph" w:styleId="Pa2">
    <w:name w:val="Pa2"/>
    <w:basedOn w:val="Default1"/>
    <w:next w:val="Default1"/>
    <w:qFormat/>
    <w:pPr>
      <w:spacing w:lineRule="atLeast" w:line="241"/>
      <w:jc w:val="left"/>
    </w:pPr>
    <w:rPr>
      <w:rFonts w:ascii="Times New Roman" w:hAnsi="Times New Roman" w:eastAsia="SimSun" w:cs="Mangal"/>
      <w:color w:val="auto"/>
      <w:sz w:val="24"/>
      <w:szCs w:val="24"/>
    </w:rPr>
  </w:style>
  <w:style w:type="paragraph" w:styleId="Pa3">
    <w:name w:val="Pa3"/>
    <w:basedOn w:val="Default1"/>
    <w:next w:val="Default1"/>
    <w:qFormat/>
    <w:pPr>
      <w:spacing w:lineRule="atLeast" w:line="241"/>
      <w:jc w:val="left"/>
    </w:pPr>
    <w:rPr>
      <w:rFonts w:ascii="Times New Roman" w:hAnsi="Times New Roman" w:eastAsia="SimSun" w:cs="Mangal"/>
      <w:color w:val="auto"/>
      <w:sz w:val="24"/>
      <w:szCs w:val="24"/>
    </w:rPr>
  </w:style>
  <w:style w:type="paragraph" w:styleId="Tabellinnehll">
    <w:name w:val="Tabellinnehåll"/>
    <w:basedOn w:val="Normal"/>
    <w:qFormat/>
    <w:pPr>
      <w:suppressLineNumbers/>
    </w:pPr>
    <w:rPr/>
  </w:style>
  <w:style w:type="paragraph" w:styleId="Underrubrik">
    <w:name w:val="Subtitle"/>
    <w:basedOn w:val="Rubrik"/>
    <w:next w:val="Brdtext"/>
    <w:qFormat/>
    <w:pPr>
      <w:spacing w:before="60" w:after="120"/>
      <w:jc w:val="center"/>
    </w:pPr>
    <w:rPr>
      <w:sz w:val="36"/>
      <w:szCs w:val="36"/>
    </w:rPr>
  </w:style>
  <w:style w:type="paragraph" w:styleId="Tabellrubrik">
    <w:name w:val="Tabellrubrik"/>
    <w:basedOn w:val="Tabellinnehll"/>
    <w:qFormat/>
    <w:pPr>
      <w:suppressLineNumbers/>
      <w:jc w:val="center"/>
    </w:pPr>
    <w:rPr>
      <w:b/>
      <w:bCs/>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Application>LibreOffice/6.2.5.2$Windows_X86_64 LibreOffice_project/1ec314fa52f458adc18c4f025c545a4e8b22c159</Application>
  <Pages>3</Pages>
  <Words>592</Words>
  <Characters>3675</Characters>
  <CharactersWithSpaces>4277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cp:lastPrinted>2022-09-26T15:55:34Z</cp:lastPrinted>
  <dcterms:modified xsi:type="dcterms:W3CDTF">2022-09-26T15:55:47Z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