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Curcumin +, 120</w:t>
      </w:r>
      <w:r>
        <w:rPr>
          <w:rStyle w:val="Starktbetonad"/>
          <w:b w:val="false"/>
          <w:bCs w:val="false"/>
        </w:rPr>
        <w:t xml:space="preserve"> </w:t>
      </w:r>
      <w:r>
        <w:rPr>
          <w:rStyle w:val="Starktbetonad"/>
          <w:b w:val="false"/>
          <w:bCs w:val="false"/>
          <w:i w:val="false"/>
          <w:iCs w:val="false"/>
        </w:rPr>
        <w:t>kapslar</w:t>
      </w:r>
    </w:p>
    <w:p>
      <w:pPr>
        <w:pStyle w:val="Rubrik2press"/>
        <w:jc w:val="left"/>
        <w:rPr/>
      </w:pPr>
      <w:r>
        <w:rPr>
          <w:rStyle w:val="Starktbetonad"/>
          <w:sz w:val="20"/>
          <w:szCs w:val="20"/>
        </w:rPr>
        <w:t xml:space="preserve">Art nr. </w:t>
      </w:r>
      <w:r>
        <w:rPr>
          <w:rStyle w:val="Starktbetonad"/>
          <w:b w:val="false"/>
          <w:bCs w:val="false"/>
          <w:sz w:val="20"/>
          <w:szCs w:val="20"/>
        </w:rPr>
        <w:t>328</w:t>
      </w:r>
    </w:p>
    <w:p>
      <w:pPr>
        <w:pStyle w:val="Rubrik2press"/>
        <w:jc w:val="left"/>
        <w:rPr>
          <w:rStyle w:val="Starktbetonad"/>
        </w:rPr>
      </w:pPr>
      <w:r>
        <w:rPr/>
      </w:r>
    </w:p>
    <w:p>
      <w:pPr>
        <w:pStyle w:val="Normal"/>
        <w:bidi w:val="0"/>
        <w:jc w:val="left"/>
        <w:rPr/>
      </w:pPr>
      <w:r>
        <w:rPr>
          <w:rStyle w:val="Starktbetonad"/>
          <w:b/>
          <w:bCs/>
          <w:i w:val="false"/>
          <w:strike w:val="false"/>
          <w:dstrike w:val="false"/>
          <w:outline w:val="false"/>
          <w:shadow w:val="false"/>
          <w:sz w:val="22"/>
          <w:szCs w:val="22"/>
          <w:u w:val="none"/>
          <w:em w:val="none"/>
        </w:rPr>
        <w:t>Curcumin med extra D- Vitamin i kapselform.</w:t>
      </w:r>
    </w:p>
    <w:p>
      <w:pPr>
        <w:pStyle w:val="Normal"/>
        <w:rPr>
          <w:sz w:val="20"/>
          <w:szCs w:val="20"/>
        </w:rPr>
      </w:pPr>
      <w:r>
        <w:rPr>
          <w:sz w:val="20"/>
          <w:szCs w:val="20"/>
        </w:rPr>
        <w:t>Fairing Green Line Curcumin+ innehåller gurkmeja, kurkuminextrakt, ingefära, piperin och ger dig dessutom D-vitamin.</w:t>
      </w:r>
    </w:p>
    <w:p>
      <w:pPr>
        <w:pStyle w:val="Normal"/>
        <w:rPr>
          <w:sz w:val="20"/>
          <w:szCs w:val="20"/>
        </w:rPr>
      </w:pPr>
      <w:r>
        <w:rPr>
          <w:sz w:val="20"/>
          <w:szCs w:val="20"/>
        </w:rPr>
        <w:t xml:space="preserve">Kurkumin är den viktigaste beståndsdelen i gurkmeja och används som kosttillskott för sin antiinflammatoriska och antioxidativa effekt. </w:t>
      </w:r>
    </w:p>
    <w:p>
      <w:pPr>
        <w:pStyle w:val="Normal"/>
        <w:rPr>
          <w:sz w:val="20"/>
          <w:szCs w:val="20"/>
        </w:rPr>
      </w:pPr>
      <w:r>
        <w:rPr>
          <w:sz w:val="20"/>
          <w:szCs w:val="20"/>
        </w:rPr>
        <w:t>Gurkmeja används traditionellt för att förbättra huden, minska matsmältningsproblem och inflammationer och mot mensbesvär. Många av dessa egenskaper nämns också bland ingefärans hälsofrämjande egenskaper. Att gurkmeja och ingefära används på liknande sätt är inte så konstigt då växterna är närbesläktade och ingår i samma växtfamilj.</w:t>
      </w:r>
    </w:p>
    <w:p>
      <w:pPr>
        <w:pStyle w:val="Normal"/>
        <w:rPr>
          <w:sz w:val="20"/>
          <w:szCs w:val="20"/>
        </w:rPr>
      </w:pPr>
      <w:r>
        <w:rPr>
          <w:sz w:val="20"/>
          <w:szCs w:val="20"/>
        </w:rPr>
        <w:t>Piperin är svartpepparextrakt vilket gör det kan vara svårt att få i sig några större mängder via den vanliga kosten eftersom mycket peppar påverkar hela måltidens smak. Att vi valt att ha piperin och gurkmeja i en och samma produkt är ingen slump då en av egenskaperna som gör att piperin används som kosttillskott är just att det gynnar upptaget av kurkumin i gurkmeja.</w:t>
      </w:r>
    </w:p>
    <w:p>
      <w:pPr>
        <w:pStyle w:val="Normal"/>
        <w:rPr>
          <w:sz w:val="20"/>
          <w:szCs w:val="20"/>
        </w:rPr>
      </w:pPr>
      <w:r>
        <w:rPr>
          <w:sz w:val="20"/>
          <w:szCs w:val="20"/>
        </w:rPr>
        <w:t xml:space="preserve">Vitamin D är troligtvis den vitamin som flest svenskar lider brist av. Vilket inte är så konstigt då D-vitamin bland annat bildas i huden när den utsätts för solljus vilket är en bristvara i Sverige en stor del av året och huden dessutom täcks av mycket kläder under den perioden. </w:t>
      </w:r>
    </w:p>
    <w:p>
      <w:pPr>
        <w:pStyle w:val="Normal"/>
        <w:bidi w:val="0"/>
        <w:jc w:val="left"/>
        <w:rPr/>
      </w:pPr>
      <w:r>
        <w:rPr>
          <w:b w:val="false"/>
          <w:i w:val="false"/>
          <w:strike w:val="false"/>
          <w:dstrike w:val="false"/>
          <w:outline w:val="false"/>
          <w:shadow w:val="false"/>
          <w:sz w:val="20"/>
          <w:szCs w:val="20"/>
          <w:u w:val="none"/>
          <w:em w:val="none"/>
        </w:rPr>
        <w:t>Fairing Green Line Curcumin+ är vegansk och givetvis fri från GMO.</w:t>
      </w:r>
      <w:r>
        <w:rPr/>
        <w:br/>
      </w:r>
    </w:p>
    <w:p>
      <w:pPr>
        <w:pStyle w:val="Brdtextpress"/>
        <w:rPr>
          <w:b/>
          <w:b/>
          <w:bCs/>
          <w:sz w:val="18"/>
          <w:szCs w:val="18"/>
        </w:rPr>
      </w:pPr>
      <w:r>
        <w:rPr/>
      </w:r>
    </w:p>
    <w:p>
      <w:pPr>
        <w:pStyle w:val="Brdtextpress"/>
        <w:rPr>
          <w:b/>
          <w:b/>
          <w:bCs/>
        </w:rPr>
      </w:pPr>
      <w:r>
        <w:rPr>
          <w:rFonts w:ascii="Calibri" w:hAnsi="Calibri"/>
          <w:b/>
          <w:bCs/>
          <w:sz w:val="20"/>
          <w:szCs w:val="20"/>
        </w:rPr>
        <w:t>NETTOVIKT</w:t>
      </w:r>
    </w:p>
    <w:p>
      <w:pPr>
        <w:pStyle w:val="Brdtextpress"/>
        <w:rPr>
          <w:rFonts w:ascii="Calibri" w:hAnsi="Calibri"/>
          <w:sz w:val="20"/>
          <w:szCs w:val="20"/>
        </w:rPr>
      </w:pPr>
      <w:r>
        <w:rPr>
          <w:rFonts w:ascii="Calibri" w:hAnsi="Calibri"/>
          <w:sz w:val="20"/>
          <w:szCs w:val="20"/>
        </w:rPr>
        <w:t>120 kapslar (120 serveringar)</w:t>
      </w:r>
    </w:p>
    <w:p>
      <w:pPr>
        <w:pStyle w:val="Rubrik4press"/>
        <w:rPr>
          <w:rFonts w:ascii="Arial" w:hAnsi="Arial" w:cs="Arial"/>
          <w:b/>
          <w:b/>
          <w:bCs/>
        </w:rPr>
      </w:pPr>
      <w:r>
        <w:rPr>
          <w:rFonts w:cs="Arial" w:ascii="Calibri" w:hAnsi="Calibri"/>
          <w:b/>
          <w:bCs/>
          <w:sz w:val="20"/>
          <w:szCs w:val="20"/>
        </w:rPr>
        <w:t>DOSERINGSSTORLEK</w:t>
      </w:r>
    </w:p>
    <w:p>
      <w:pPr>
        <w:pStyle w:val="Brdtextpress"/>
        <w:rPr>
          <w:rFonts w:ascii="Calibri" w:hAnsi="Calibri"/>
          <w:sz w:val="20"/>
          <w:szCs w:val="20"/>
        </w:rPr>
      </w:pPr>
      <w:r>
        <w:rPr>
          <w:rFonts w:cs="Arial" w:ascii="Calibri" w:hAnsi="Calibri"/>
          <w:b w:val="false"/>
          <w:bCs w:val="false"/>
          <w:sz w:val="20"/>
          <w:szCs w:val="20"/>
        </w:rPr>
        <w:t>1 kapsel</w:t>
      </w:r>
    </w:p>
    <w:p>
      <w:pPr>
        <w:pStyle w:val="Rubrik4press"/>
        <w:rPr>
          <w:rFonts w:ascii="Arial" w:hAnsi="Arial"/>
          <w:sz w:val="18"/>
          <w:szCs w:val="18"/>
        </w:rPr>
      </w:pPr>
      <w:r>
        <w:rPr>
          <w:rFonts w:ascii="Calibri" w:hAnsi="Calibri"/>
          <w:sz w:val="20"/>
          <w:szCs w:val="20"/>
        </w:rPr>
        <w:t xml:space="preserve">DOSERING </w:t>
      </w:r>
    </w:p>
    <w:p>
      <w:pPr>
        <w:pStyle w:val="Brdtextpress"/>
        <w:rPr>
          <w:rFonts w:ascii="Calibri" w:hAnsi="Calibri"/>
          <w:sz w:val="20"/>
          <w:szCs w:val="20"/>
        </w:rPr>
      </w:pPr>
      <w:r>
        <w:rPr>
          <w:rFonts w:ascii="Calibri" w:hAnsi="Calibri"/>
          <w:color w:val="auto"/>
          <w:sz w:val="20"/>
          <w:szCs w:val="20"/>
        </w:rPr>
        <w:t>1 kapsel daligen</w:t>
      </w:r>
      <w:r>
        <w:rPr>
          <w:rFonts w:ascii="Calibri" w:hAnsi="Calibri"/>
          <w:sz w:val="20"/>
          <w:szCs w:val="20"/>
        </w:rPr>
        <w:t xml:space="preserve"> </w:t>
      </w:r>
    </w:p>
    <w:p>
      <w:pPr>
        <w:pStyle w:val="Rubrik4press"/>
        <w:rPr/>
      </w:pPr>
      <w:r>
        <w:rPr>
          <w:rFonts w:ascii="Calibri" w:hAnsi="Calibri"/>
          <w:sz w:val="20"/>
          <w:szCs w:val="20"/>
        </w:rPr>
        <w:t>INGREDIENSER</w:t>
        <w:br/>
      </w:r>
      <w:r>
        <w:rPr>
          <w:rFonts w:ascii="Calibri" w:hAnsi="Calibri"/>
          <w:b w:val="false"/>
          <w:bCs w:val="false"/>
          <w:sz w:val="20"/>
          <w:szCs w:val="20"/>
        </w:rPr>
        <w:t>Gurkmejaextrakt (Curcuma longa-rot), extrakt av kurkumin (från gurkmeja), ingefärsextrakt (Zingiber officinale-rot), emulgeringsmedel (magnesiumsalter av fettsyror), klumpförebyggande medel (kiseldioxid), Vitamin D (vegansk</w:t>
      </w:r>
      <w:r>
        <w:rPr>
          <w:rFonts w:ascii="Calibri" w:hAnsi="Calibri"/>
          <w:b w:val="false"/>
          <w:bCs w:val="false"/>
          <w:i w:val="false"/>
          <w:caps w:val="false"/>
          <w:smallCaps w:val="false"/>
          <w:color w:val="auto"/>
          <w:spacing w:val="0"/>
          <w:sz w:val="20"/>
          <w:szCs w:val="20"/>
        </w:rPr>
        <w:t xml:space="preserve"> </w:t>
      </w:r>
      <w:r>
        <w:rPr>
          <w:rStyle w:val="Starktbetonad"/>
          <w:rFonts w:ascii="Calibri" w:hAnsi="Calibri"/>
          <w:b w:val="false"/>
          <w:bCs w:val="false"/>
          <w:i w:val="false"/>
          <w:caps w:val="false"/>
          <w:smallCaps w:val="false"/>
          <w:color w:val="auto"/>
          <w:spacing w:val="0"/>
          <w:sz w:val="20"/>
          <w:szCs w:val="20"/>
        </w:rPr>
        <w:t>kolekalciferol från lav), piperin från svartpepparextrakt (Piper nigrum-frukt). Kapsel (pullulan (E1204)).</w:t>
      </w:r>
      <w:r>
        <w:rPr>
          <w:rFonts w:ascii="Calibri" w:hAnsi="Calibri"/>
          <w:color w:val="auto"/>
          <w:sz w:val="20"/>
          <w:szCs w:val="20"/>
        </w:rPr>
        <w:br/>
        <w:br/>
      </w:r>
      <w:r>
        <w:rPr>
          <w:color w:val="auto"/>
          <w:sz w:val="20"/>
          <w:szCs w:val="20"/>
        </w:rPr>
        <w:br/>
      </w:r>
    </w:p>
    <w:p>
      <w:pPr>
        <w:pStyle w:val="Rubrik4press"/>
        <w:rPr>
          <w:b/>
          <w:b/>
          <w:bCs/>
          <w:color w:val="auto"/>
          <w:sz w:val="20"/>
          <w:szCs w:val="20"/>
        </w:rPr>
      </w:pPr>
      <w:r>
        <w:rPr/>
      </w:r>
    </w:p>
    <w:p>
      <w:pPr>
        <w:pStyle w:val="Rubrik4press"/>
        <w:rPr/>
      </w:pPr>
      <w:r>
        <w:rPr>
          <w:b/>
          <w:bCs/>
          <w:color w:val="auto"/>
          <w:sz w:val="20"/>
          <w:szCs w:val="20"/>
        </w:rPr>
        <w:br/>
      </w:r>
      <w:r>
        <w:rPr>
          <w:b/>
          <w:bCs/>
          <w:color w:val="auto"/>
          <w:sz w:val="18"/>
          <w:szCs w:val="18"/>
        </w:rPr>
        <w:t>INNEHÅLL</w:t>
      </w:r>
    </w:p>
    <w:tbl>
      <w:tblPr>
        <w:tblW w:w="4815" w:type="dxa"/>
        <w:jc w:val="left"/>
        <w:tblInd w:w="0" w:type="dxa"/>
        <w:tblCellMar>
          <w:top w:w="55" w:type="dxa"/>
          <w:left w:w="55" w:type="dxa"/>
          <w:bottom w:w="55" w:type="dxa"/>
          <w:right w:w="55" w:type="dxa"/>
        </w:tblCellMar>
      </w:tblPr>
      <w:tblGrid>
        <w:gridCol w:w="1874"/>
        <w:gridCol w:w="2940"/>
      </w:tblGrid>
      <w:tr>
        <w:trPr>
          <w:trHeight w:val="450" w:hRule="atLeast"/>
        </w:trPr>
        <w:tc>
          <w:tcPr>
            <w:tcW w:w="1874" w:type="dxa"/>
            <w:tcBorders>
              <w:top w:val="single" w:sz="2" w:space="0" w:color="000000"/>
              <w:left w:val="single" w:sz="2" w:space="0" w:color="000000"/>
              <w:bottom w:val="single" w:sz="2" w:space="0" w:color="000000"/>
            </w:tcBorders>
            <w:shd w:fill="auto" w:val="clear"/>
          </w:tcPr>
          <w:p>
            <w:pPr>
              <w:pStyle w:val="Tabellinnehll"/>
              <w:spacing w:before="0" w:after="160"/>
              <w:rPr>
                <w:sz w:val="16"/>
                <w:szCs w:val="16"/>
              </w:rPr>
            </w:pPr>
            <w:r>
              <w:rPr>
                <w:b/>
                <w:bCs/>
                <w:sz w:val="18"/>
                <w:szCs w:val="18"/>
              </w:rPr>
              <w:t xml:space="preserve">Innehåll per </w:t>
            </w:r>
          </w:p>
        </w:tc>
        <w:tc>
          <w:tcPr>
            <w:tcW w:w="2940"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b/>
                <w:b/>
                <w:bCs/>
                <w:sz w:val="18"/>
                <w:szCs w:val="18"/>
              </w:rPr>
            </w:pPr>
            <w:r>
              <w:rPr>
                <w:b/>
                <w:bCs/>
                <w:sz w:val="18"/>
                <w:szCs w:val="18"/>
              </w:rPr>
              <w:t>Dosering (1 kapsel)</w:t>
            </w:r>
          </w:p>
        </w:tc>
      </w:tr>
      <w:tr>
        <w:trPr/>
        <w:tc>
          <w:tcPr>
            <w:tcW w:w="1874" w:type="dxa"/>
            <w:tcBorders>
              <w:left w:val="single" w:sz="2" w:space="0" w:color="000000"/>
              <w:bottom w:val="single" w:sz="2" w:space="0" w:color="000000"/>
            </w:tcBorders>
            <w:shd w:fill="auto" w:val="clear"/>
          </w:tcPr>
          <w:p>
            <w:pPr>
              <w:pStyle w:val="Tabellinnehll"/>
              <w:spacing w:before="0" w:after="160"/>
              <w:rPr>
                <w:rFonts w:ascii="Calibri" w:hAnsi="Calibri"/>
                <w:sz w:val="18"/>
                <w:szCs w:val="18"/>
              </w:rPr>
            </w:pPr>
            <w:r>
              <w:rPr>
                <w:sz w:val="18"/>
                <w:szCs w:val="18"/>
              </w:rPr>
              <w:t>Gurkmeja</w:t>
            </w:r>
          </w:p>
        </w:tc>
        <w:tc>
          <w:tcPr>
            <w:tcW w:w="2940"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8"/>
                <w:szCs w:val="18"/>
              </w:rPr>
              <w:t>220,0 m</w:t>
            </w:r>
            <w:r>
              <w:rPr>
                <w:rStyle w:val="Betonad"/>
                <w:b w:val="false"/>
                <w:i w:val="false"/>
                <w:caps w:val="false"/>
                <w:smallCaps w:val="false"/>
                <w:color w:val="auto"/>
                <w:spacing w:val="0"/>
                <w:sz w:val="18"/>
                <w:szCs w:val="18"/>
              </w:rPr>
              <w:t>g</w:t>
            </w:r>
            <w:r>
              <w:rPr>
                <w:sz w:val="18"/>
                <w:szCs w:val="18"/>
              </w:rPr>
              <w:t xml:space="preserve">  </w:t>
            </w:r>
          </w:p>
        </w:tc>
      </w:tr>
      <w:tr>
        <w:trPr/>
        <w:tc>
          <w:tcPr>
            <w:tcW w:w="1874" w:type="dxa"/>
            <w:tcBorders>
              <w:left w:val="single" w:sz="2" w:space="0" w:color="000000"/>
              <w:bottom w:val="single" w:sz="2" w:space="0" w:color="000000"/>
            </w:tcBorders>
            <w:shd w:fill="auto" w:val="clear"/>
          </w:tcPr>
          <w:p>
            <w:pPr>
              <w:pStyle w:val="Tabellinnehll"/>
              <w:spacing w:before="0" w:after="160"/>
              <w:rPr>
                <w:rFonts w:ascii="Calibri" w:hAnsi="Calibri"/>
                <w:sz w:val="18"/>
                <w:szCs w:val="18"/>
              </w:rPr>
            </w:pPr>
            <w:r>
              <w:rPr>
                <w:sz w:val="18"/>
                <w:szCs w:val="18"/>
              </w:rPr>
              <w:t>Kurkuminextrakt</w:t>
            </w:r>
          </w:p>
          <w:p>
            <w:pPr>
              <w:pStyle w:val="Tabellinnehll"/>
              <w:spacing w:before="0" w:after="160"/>
              <w:rPr>
                <w:rFonts w:ascii="Calibri" w:hAnsi="Calibri"/>
                <w:sz w:val="18"/>
                <w:szCs w:val="18"/>
              </w:rPr>
            </w:pPr>
            <w:r>
              <w:rPr>
                <w:sz w:val="18"/>
                <w:szCs w:val="18"/>
              </w:rPr>
              <w:t>- varav kurkuminoider:</w:t>
            </w:r>
          </w:p>
        </w:tc>
        <w:tc>
          <w:tcPr>
            <w:tcW w:w="2940" w:type="dxa"/>
            <w:tcBorders>
              <w:left w:val="single" w:sz="2" w:space="0" w:color="000000"/>
              <w:bottom w:val="single" w:sz="2" w:space="0" w:color="000000"/>
              <w:right w:val="single" w:sz="2" w:space="0" w:color="000000"/>
            </w:tcBorders>
            <w:shd w:fill="auto" w:val="clear"/>
          </w:tcPr>
          <w:p>
            <w:pPr>
              <w:pStyle w:val="Tabellinnehll"/>
              <w:spacing w:before="0" w:after="160"/>
              <w:rPr>
                <w:rFonts w:ascii="Calibri" w:hAnsi="Calibri"/>
                <w:sz w:val="18"/>
                <w:szCs w:val="18"/>
              </w:rPr>
            </w:pPr>
            <w:r>
              <w:rPr>
                <w:sz w:val="18"/>
                <w:szCs w:val="18"/>
              </w:rPr>
              <w:t>80,0 mg</w:t>
            </w:r>
          </w:p>
          <w:p>
            <w:pPr>
              <w:pStyle w:val="Tabellinnehll"/>
              <w:spacing w:before="0" w:after="160"/>
              <w:rPr>
                <w:rFonts w:ascii="Calibri" w:hAnsi="Calibri"/>
                <w:sz w:val="18"/>
                <w:szCs w:val="18"/>
              </w:rPr>
            </w:pPr>
            <w:r>
              <w:rPr>
                <w:sz w:val="18"/>
                <w:szCs w:val="18"/>
              </w:rPr>
              <w:t>76,0 mg</w:t>
            </w:r>
          </w:p>
        </w:tc>
      </w:tr>
      <w:tr>
        <w:trPr/>
        <w:tc>
          <w:tcPr>
            <w:tcW w:w="1874" w:type="dxa"/>
            <w:tcBorders>
              <w:left w:val="single" w:sz="2" w:space="0" w:color="000000"/>
              <w:bottom w:val="single" w:sz="2" w:space="0" w:color="000000"/>
            </w:tcBorders>
            <w:shd w:fill="auto" w:val="clear"/>
          </w:tcPr>
          <w:p>
            <w:pPr>
              <w:pStyle w:val="Tabellinnehll"/>
              <w:spacing w:before="0" w:after="160"/>
              <w:rPr>
                <w:rFonts w:ascii="Calibri" w:hAnsi="Calibri"/>
                <w:sz w:val="18"/>
                <w:szCs w:val="18"/>
              </w:rPr>
            </w:pPr>
            <w:r>
              <w:rPr>
                <w:sz w:val="18"/>
                <w:szCs w:val="18"/>
              </w:rPr>
              <w:t>Ingefära</w:t>
            </w:r>
          </w:p>
        </w:tc>
        <w:tc>
          <w:tcPr>
            <w:tcW w:w="2940" w:type="dxa"/>
            <w:tcBorders>
              <w:left w:val="single" w:sz="2" w:space="0" w:color="000000"/>
              <w:bottom w:val="single" w:sz="2" w:space="0" w:color="000000"/>
              <w:right w:val="single" w:sz="2" w:space="0" w:color="000000"/>
            </w:tcBorders>
            <w:shd w:fill="auto" w:val="clear"/>
          </w:tcPr>
          <w:p>
            <w:pPr>
              <w:pStyle w:val="Tabellinnehll"/>
              <w:spacing w:before="0" w:after="160"/>
              <w:rPr>
                <w:rFonts w:ascii="Calibri" w:hAnsi="Calibri"/>
                <w:sz w:val="18"/>
                <w:szCs w:val="18"/>
              </w:rPr>
            </w:pPr>
            <w:r>
              <w:rPr>
                <w:sz w:val="18"/>
                <w:szCs w:val="18"/>
              </w:rPr>
              <w:t>20,0 mg</w:t>
            </w:r>
          </w:p>
        </w:tc>
      </w:tr>
      <w:tr>
        <w:trPr/>
        <w:tc>
          <w:tcPr>
            <w:tcW w:w="1874" w:type="dxa"/>
            <w:tcBorders>
              <w:left w:val="single" w:sz="2" w:space="0" w:color="000000"/>
              <w:bottom w:val="single" w:sz="2" w:space="0" w:color="000000"/>
            </w:tcBorders>
            <w:shd w:fill="auto" w:val="clear"/>
          </w:tcPr>
          <w:p>
            <w:pPr>
              <w:pStyle w:val="Tabellinnehll"/>
              <w:spacing w:before="0" w:after="160"/>
              <w:rPr>
                <w:rFonts w:ascii="Calibri" w:hAnsi="Calibri"/>
                <w:sz w:val="18"/>
                <w:szCs w:val="18"/>
              </w:rPr>
            </w:pPr>
            <w:r>
              <w:rPr>
                <w:sz w:val="18"/>
                <w:szCs w:val="18"/>
              </w:rPr>
              <w:t>Svartpepparextrakt</w:t>
            </w:r>
          </w:p>
          <w:p>
            <w:pPr>
              <w:pStyle w:val="Tabellinnehll"/>
              <w:spacing w:before="0" w:after="160"/>
              <w:rPr>
                <w:rFonts w:ascii="Calibri" w:hAnsi="Calibri"/>
                <w:sz w:val="18"/>
                <w:szCs w:val="18"/>
              </w:rPr>
            </w:pPr>
            <w:r>
              <w:rPr>
                <w:sz w:val="18"/>
                <w:szCs w:val="18"/>
              </w:rPr>
              <w:t>- varav piperin:</w:t>
            </w:r>
          </w:p>
        </w:tc>
        <w:tc>
          <w:tcPr>
            <w:tcW w:w="2940" w:type="dxa"/>
            <w:tcBorders>
              <w:left w:val="single" w:sz="2" w:space="0" w:color="000000"/>
              <w:bottom w:val="single" w:sz="2" w:space="0" w:color="000000"/>
              <w:right w:val="single" w:sz="2" w:space="0" w:color="000000"/>
            </w:tcBorders>
            <w:shd w:fill="auto" w:val="clear"/>
          </w:tcPr>
          <w:p>
            <w:pPr>
              <w:pStyle w:val="Tabellinnehll"/>
              <w:spacing w:before="0" w:after="160"/>
              <w:rPr>
                <w:rFonts w:ascii="Calibri" w:hAnsi="Calibri"/>
                <w:sz w:val="18"/>
                <w:szCs w:val="18"/>
              </w:rPr>
            </w:pPr>
            <w:r>
              <w:rPr>
                <w:sz w:val="18"/>
                <w:szCs w:val="18"/>
              </w:rPr>
              <w:t>1,0 mg</w:t>
            </w:r>
          </w:p>
          <w:p>
            <w:pPr>
              <w:pStyle w:val="Tabellinnehll"/>
              <w:spacing w:before="0" w:after="160"/>
              <w:rPr>
                <w:rFonts w:ascii="Calibri" w:hAnsi="Calibri"/>
                <w:sz w:val="18"/>
                <w:szCs w:val="18"/>
              </w:rPr>
            </w:pPr>
            <w:r>
              <w:rPr>
                <w:sz w:val="18"/>
                <w:szCs w:val="18"/>
              </w:rPr>
              <w:t>0,95 mg</w:t>
            </w:r>
          </w:p>
        </w:tc>
      </w:tr>
      <w:tr>
        <w:trPr/>
        <w:tc>
          <w:tcPr>
            <w:tcW w:w="1874" w:type="dxa"/>
            <w:tcBorders>
              <w:left w:val="single" w:sz="2" w:space="0" w:color="000000"/>
              <w:bottom w:val="single" w:sz="2" w:space="0" w:color="000000"/>
            </w:tcBorders>
            <w:shd w:fill="auto" w:val="clear"/>
          </w:tcPr>
          <w:p>
            <w:pPr>
              <w:pStyle w:val="Tabellinnehll"/>
              <w:spacing w:before="0" w:after="160"/>
              <w:rPr>
                <w:rFonts w:ascii="Calibri" w:hAnsi="Calibri"/>
                <w:b w:val="false"/>
                <w:b w:val="false"/>
                <w:bCs w:val="false"/>
                <w:i/>
                <w:i/>
                <w:iCs/>
                <w:color w:val="auto"/>
              </w:rPr>
            </w:pPr>
            <w:r>
              <w:rPr>
                <w:sz w:val="18"/>
                <w:szCs w:val="18"/>
              </w:rPr>
              <w:t>Vitamin D</w:t>
            </w:r>
          </w:p>
        </w:tc>
        <w:tc>
          <w:tcPr>
            <w:tcW w:w="2940" w:type="dxa"/>
            <w:tcBorders>
              <w:left w:val="single" w:sz="2" w:space="0" w:color="000000"/>
              <w:bottom w:val="single" w:sz="2" w:space="0" w:color="000000"/>
              <w:right w:val="single" w:sz="2" w:space="0" w:color="000000"/>
            </w:tcBorders>
            <w:shd w:fill="auto" w:val="clear"/>
          </w:tcPr>
          <w:p>
            <w:pPr>
              <w:pStyle w:val="Tabellinnehll"/>
              <w:spacing w:before="0" w:after="160"/>
              <w:rPr/>
            </w:pPr>
            <w:r>
              <w:rPr>
                <w:color w:val="auto"/>
                <w:sz w:val="18"/>
                <w:szCs w:val="18"/>
              </w:rPr>
              <w:t xml:space="preserve">5,0 </w:t>
            </w:r>
            <w:r>
              <w:rPr>
                <w:rStyle w:val="Betonad"/>
                <w:b w:val="false"/>
                <w:i w:val="false"/>
                <w:caps w:val="false"/>
                <w:smallCaps w:val="false"/>
                <w:color w:val="auto"/>
                <w:spacing w:val="0"/>
                <w:sz w:val="18"/>
                <w:szCs w:val="18"/>
              </w:rPr>
              <w:t>μg</w:t>
            </w:r>
            <w:r>
              <w:rPr>
                <w:color w:val="auto"/>
                <w:sz w:val="18"/>
                <w:szCs w:val="18"/>
              </w:rPr>
              <w:t xml:space="preserve"> (100%*)</w:t>
            </w:r>
          </w:p>
        </w:tc>
      </w:tr>
    </w:tbl>
    <w:p>
      <w:pPr>
        <w:pStyle w:val="Tabellfrteckningrubrik"/>
        <w:rPr>
          <w:sz w:val="18"/>
          <w:szCs w:val="18"/>
        </w:rPr>
      </w:pPr>
      <w:r>
        <w:rPr>
          <w:rStyle w:val="Starktbetonad"/>
          <w:rFonts w:ascii="Calibri" w:hAnsi="Calibri"/>
          <w:b w:val="false"/>
          <w:bCs w:val="false"/>
          <w:i/>
          <w:iCs/>
          <w:color w:val="auto"/>
          <w:sz w:val="16"/>
          <w:szCs w:val="16"/>
        </w:rPr>
        <w:t>* RDI: Rekommenderat dagligt intag</w:t>
      </w:r>
    </w:p>
    <w:p>
      <w:pPr>
        <w:pStyle w:val="Rubrik4press"/>
        <w:rPr>
          <w:rStyle w:val="Starktbetonad"/>
          <w:sz w:val="18"/>
          <w:szCs w:val="18"/>
        </w:rPr>
      </w:pPr>
      <w:r>
        <w:rPr>
          <w:sz w:val="18"/>
          <w:szCs w:val="18"/>
        </w:rPr>
      </w:r>
    </w:p>
    <w:p>
      <w:pPr>
        <w:pStyle w:val="Rubrik4press"/>
        <w:rPr>
          <w:rStyle w:val="Starktbetonad"/>
          <w:sz w:val="18"/>
          <w:szCs w:val="18"/>
        </w:rPr>
      </w:pPr>
      <w:r>
        <w:rPr>
          <w:sz w:val="18"/>
          <w:szCs w:val="18"/>
        </w:rPr>
      </w:r>
    </w:p>
    <w:p>
      <w:pPr>
        <w:pStyle w:val="Tabellfrteckningrubrik"/>
        <w:rPr>
          <w:rStyle w:val="Starktbetonad"/>
          <w:rFonts w:ascii="Arial" w:hAnsi="Arial"/>
          <w:sz w:val="18"/>
          <w:szCs w:val="18"/>
        </w:rPr>
      </w:pPr>
      <w:r>
        <w:rPr>
          <w:rFonts w:ascii="Arial" w:hAnsi="Arial"/>
          <w:sz w:val="18"/>
          <w:szCs w:val="18"/>
        </w:rPr>
      </w:r>
    </w:p>
    <w:p>
      <w:pPr>
        <w:pStyle w:val="Tabellfrteckningrubrik"/>
        <w:rPr>
          <w:rStyle w:val="Starktbetonad"/>
          <w:rFonts w:ascii="Arial" w:hAnsi="Arial"/>
          <w:sz w:val="18"/>
          <w:szCs w:val="18"/>
        </w:rPr>
      </w:pPr>
      <w:r>
        <w:rPr>
          <w:rFonts w:ascii="Arial" w:hAnsi="Arial"/>
          <w:sz w:val="18"/>
          <w:szCs w:val="18"/>
        </w:rPr>
      </w:r>
    </w:p>
    <w:p>
      <w:pPr>
        <w:pStyle w:val="Tabellfrteckningrubrik"/>
        <w:rPr/>
      </w:pPr>
      <w:r>
        <w:rPr>
          <w:rStyle w:val="Starktbetonad"/>
          <w:rFonts w:ascii="Arial" w:hAnsi="Arial"/>
          <w:sz w:val="18"/>
          <w:szCs w:val="18"/>
        </w:rPr>
        <w:t>FÖRVARING</w:t>
        <w:br/>
      </w:r>
      <w:r>
        <w:rPr>
          <w:rStyle w:val="Starktbetonad"/>
          <w:rFonts w:ascii="Arial" w:hAnsi="Arial"/>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pPr>
      <w:r>
        <w:rPr>
          <w:sz w:val="18"/>
          <w:szCs w:val="18"/>
        </w:rPr>
        <w:t>Rekommenderad dagsdos ska ej överskridas. Bör inte användas som alternativ till en varierad kost. Rekommendera ej till barn, gravida eller ammande.</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2022-04-07</w:t>
    </w:r>
  </w:p>
  <w:p>
    <w:pPr>
      <w:pStyle w:val="Sidhuvud"/>
      <w:rPr/>
    </w:pPr>
    <w:r>
      <w:rPr/>
      <w:tab/>
      <w:tab/>
      <w:t>Produktblad: Curcumin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6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Betonad">
    <w:name w:val="Betonad"/>
    <w:qFormat/>
    <w:rPr>
      <w:i/>
      <w:iCs/>
    </w:rPr>
  </w:style>
  <w:style w:type="character" w:styleId="ListLabel4">
    <w:name w:val="ListLabel 4"/>
    <w:qFormat/>
    <w:rPr>
      <w:sz w:val="16"/>
      <w:szCs w:val="16"/>
    </w:rPr>
  </w:style>
  <w:style w:type="character" w:styleId="ListLabel5">
    <w:name w:val="ListLabel 5"/>
    <w:qFormat/>
    <w:rPr>
      <w:sz w:val="16"/>
      <w:szCs w:val="16"/>
    </w:rPr>
  </w:style>
  <w:style w:type="character" w:styleId="ListLabel6">
    <w:name w:val="ListLabel 6"/>
    <w:qFormat/>
    <w:rPr>
      <w:sz w:val="16"/>
      <w:szCs w:val="16"/>
    </w:rPr>
  </w:style>
  <w:style w:type="character" w:styleId="ListLabel7">
    <w:name w:val="ListLabel 7"/>
    <w:qFormat/>
    <w:rPr>
      <w:sz w:val="16"/>
      <w:szCs w:val="16"/>
    </w:rPr>
  </w:style>
  <w:style w:type="character" w:styleId="ListLabel8">
    <w:name w:val="ListLabel 8"/>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469"/>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469"/>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Application>LibreOffice/6.2.5.2$Windows_X86_64 LibreOffice_project/1ec314fa52f458adc18c4f025c545a4e8b22c159</Application>
  <Pages>2</Pages>
  <Words>352</Words>
  <Characters>2141</Characters>
  <CharactersWithSpaces>2521</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2022-05-25T09:44:24Z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