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press"/>
        <w:jc w:val="left"/>
        <w:rPr/>
      </w:pPr>
      <w:r>
        <w:rPr>
          <w:rStyle w:val="Starktbetonad"/>
        </w:rPr>
        <w:t xml:space="preserve">ZMA, </w:t>
      </w:r>
      <w:r>
        <w:rPr>
          <w:rStyle w:val="Starktbetonad"/>
          <w:b w:val="false"/>
          <w:bCs w:val="false"/>
        </w:rPr>
        <w:t>90</w:t>
      </w:r>
      <w:r>
        <w:rPr>
          <w:rStyle w:val="Starktbetonad"/>
          <w:b w:val="false"/>
          <w:bCs w:val="false"/>
          <w:i w:val="false"/>
          <w:iCs w:val="false"/>
        </w:rPr>
        <w:t xml:space="preserve"> kapslar</w:t>
      </w:r>
    </w:p>
    <w:p>
      <w:pPr>
        <w:pStyle w:val="Rubrik2press"/>
        <w:jc w:val="left"/>
        <w:rPr/>
      </w:pPr>
      <w:r>
        <w:rPr>
          <w:rStyle w:val="Starktbetonad"/>
          <w:sz w:val="20"/>
          <w:szCs w:val="20"/>
        </w:rPr>
        <w:t xml:space="preserve">Art nr. </w:t>
      </w:r>
      <w:r>
        <w:rPr>
          <w:rStyle w:val="Starktbetonad"/>
          <w:b w:val="false"/>
          <w:bCs w:val="false"/>
          <w:sz w:val="20"/>
          <w:szCs w:val="20"/>
        </w:rPr>
        <w:t>161</w:t>
      </w:r>
    </w:p>
    <w:p>
      <w:pPr>
        <w:pStyle w:val="Brdtextpress"/>
        <w:rPr/>
      </w:pPr>
      <w:r>
        <w:rPr>
          <w:rStyle w:val="Starktbetonad"/>
        </w:rPr>
        <w:br/>
      </w:r>
      <w:r>
        <w:rPr>
          <w:rStyle w:val="Starktbetonad"/>
          <w:sz w:val="18"/>
          <w:szCs w:val="18"/>
        </w:rPr>
        <w:t>ZMA är ett vitamin-/mineraltillskott innehållande magnesium, zink och vitamin B6 i lättupptaglig form.</w:t>
      </w:r>
    </w:p>
    <w:p>
      <w:pPr>
        <w:pStyle w:val="Brdtext"/>
        <w:rPr>
          <w:sz w:val="18"/>
          <w:szCs w:val="18"/>
        </w:rPr>
      </w:pPr>
      <w:r>
        <w:rPr>
          <w:sz w:val="18"/>
          <w:szCs w:val="18"/>
        </w:rPr>
        <w:t>Dessa näringsämnen lämpar sig särskilt för tränande individer då de i kombination bidrar till normal proteinsyntes, immunsystemet -och musklernas normala funktion.</w:t>
      </w:r>
    </w:p>
    <w:p>
      <w:pPr>
        <w:pStyle w:val="Brdtext"/>
        <w:rPr/>
      </w:pPr>
      <w:r>
        <w:rPr>
          <w:rStyle w:val="Starktbetonad"/>
          <w:sz w:val="18"/>
          <w:szCs w:val="18"/>
        </w:rPr>
        <w:t xml:space="preserve">Zink </w:t>
      </w:r>
      <w:r>
        <w:rPr>
          <w:sz w:val="18"/>
          <w:szCs w:val="18"/>
        </w:rPr>
        <w:t>är ett livsnödvändigt mineral som påverkar omsättningen av proteiner, kolhydrater, fett, nukleinsyror och vissa vitaminer. Zink behövs för immunsystemet och bidrar även till att upprätthålla normala hormonnivåer i blodet.</w:t>
      </w:r>
    </w:p>
    <w:p>
      <w:pPr>
        <w:pStyle w:val="Brdtext"/>
        <w:rPr/>
      </w:pPr>
      <w:r>
        <w:rPr>
          <w:rStyle w:val="Starktbetonad"/>
          <w:sz w:val="18"/>
          <w:szCs w:val="18"/>
        </w:rPr>
        <w:t>Magnesium</w:t>
      </w:r>
      <w:r>
        <w:rPr>
          <w:sz w:val="18"/>
          <w:szCs w:val="18"/>
        </w:rPr>
        <w:t xml:space="preserve"> i sin tur hjälper våra muskler att slappna av och bidrar till normal muskelfunktion och nervsignalering. Träning ställer krav på båda dessa delar. Magnesium har en avslappnande inverkan och kan hjälpa kroppen att slappna av nattetid.</w:t>
      </w:r>
    </w:p>
    <w:p>
      <w:pPr>
        <w:pStyle w:val="Brdtext"/>
        <w:rPr/>
      </w:pPr>
      <w:r>
        <w:rPr>
          <w:rStyle w:val="Starktbetonad"/>
          <w:sz w:val="18"/>
          <w:szCs w:val="18"/>
        </w:rPr>
        <w:t>Vitamin B6</w:t>
      </w:r>
      <w:r>
        <w:rPr>
          <w:sz w:val="18"/>
          <w:szCs w:val="18"/>
        </w:rPr>
        <w:t>, även kallat pyridoxin, är nödvändigt för proteinomsättningen och har betydelse för exempelvis nervernas funktion.</w:t>
      </w:r>
    </w:p>
    <w:p>
      <w:pPr>
        <w:pStyle w:val="Rubrik4press"/>
        <w:rPr>
          <w:rFonts w:ascii="Arial" w:hAnsi="Arial"/>
        </w:rPr>
      </w:pPr>
      <w:r>
        <w:rPr>
          <w:sz w:val="18"/>
          <w:szCs w:val="18"/>
        </w:rPr>
        <w:br/>
        <w:t>NETTOVIKT</w:t>
      </w:r>
    </w:p>
    <w:p>
      <w:pPr>
        <w:pStyle w:val="Brdtextpress"/>
        <w:rPr>
          <w:rFonts w:ascii="Arial" w:hAnsi="Arial"/>
          <w:sz w:val="18"/>
          <w:szCs w:val="18"/>
        </w:rPr>
      </w:pPr>
      <w:r>
        <w:rPr>
          <w:sz w:val="18"/>
          <w:szCs w:val="18"/>
        </w:rPr>
        <w:t>90 kapslar (45 serveringar)</w:t>
      </w:r>
    </w:p>
    <w:p>
      <w:pPr>
        <w:pStyle w:val="Rubrik4press"/>
        <w:rPr>
          <w:rFonts w:ascii="Arial" w:hAnsi="Arial" w:cs="Arial"/>
          <w:b/>
          <w:b/>
          <w:bCs/>
        </w:rPr>
      </w:pPr>
      <w:r>
        <w:rPr>
          <w:rFonts w:cs="Arial"/>
          <w:b/>
          <w:bCs/>
          <w:sz w:val="18"/>
          <w:szCs w:val="18"/>
        </w:rPr>
        <w:t>DOSERINGSSTORLEK</w:t>
      </w:r>
    </w:p>
    <w:p>
      <w:pPr>
        <w:pStyle w:val="Brdtextpress"/>
        <w:rPr>
          <w:rFonts w:ascii="Arial" w:hAnsi="Arial"/>
          <w:sz w:val="18"/>
          <w:szCs w:val="18"/>
        </w:rPr>
      </w:pPr>
      <w:r>
        <w:rPr>
          <w:rFonts w:cs="Arial"/>
          <w:b w:val="false"/>
          <w:bCs w:val="false"/>
          <w:sz w:val="18"/>
          <w:szCs w:val="18"/>
        </w:rPr>
        <w:t xml:space="preserve">2 - 3 kapslarl </w:t>
      </w:r>
    </w:p>
    <w:p>
      <w:pPr>
        <w:pStyle w:val="Rubrik4press"/>
        <w:rPr>
          <w:rFonts w:ascii="Arial" w:hAnsi="Arial"/>
          <w:sz w:val="18"/>
          <w:szCs w:val="18"/>
        </w:rPr>
      </w:pPr>
      <w:r>
        <w:rPr>
          <w:sz w:val="18"/>
          <w:szCs w:val="18"/>
        </w:rPr>
        <w:t xml:space="preserve">DOSERING </w:t>
      </w:r>
    </w:p>
    <w:p>
      <w:pPr>
        <w:pStyle w:val="Brdtextpress"/>
        <w:rPr>
          <w:rFonts w:ascii="Arial" w:hAnsi="Arial"/>
          <w:sz w:val="18"/>
          <w:szCs w:val="18"/>
        </w:rPr>
      </w:pPr>
      <w:r>
        <w:rPr>
          <w:b w:val="false"/>
          <w:i w:val="false"/>
          <w:caps w:val="false"/>
          <w:smallCaps w:val="false"/>
          <w:color w:val="auto"/>
          <w:spacing w:val="0"/>
          <w:sz w:val="18"/>
          <w:szCs w:val="18"/>
        </w:rPr>
        <w:t>2-3 kapslar före sänggående och på tom mage för bästa effekt.</w:t>
      </w:r>
      <w:r>
        <w:rPr>
          <w:color w:val="auto"/>
          <w:sz w:val="18"/>
          <w:szCs w:val="18"/>
        </w:rPr>
        <w:t xml:space="preserve"> </w:t>
      </w:r>
      <w:r>
        <w:rPr>
          <w:sz w:val="18"/>
          <w:szCs w:val="18"/>
        </w:rPr>
        <w:t xml:space="preserve"> </w:t>
      </w:r>
    </w:p>
    <w:p>
      <w:pPr>
        <w:pStyle w:val="Rubrik4press"/>
        <w:rPr>
          <w:rFonts w:ascii="Arial" w:hAnsi="Arial"/>
          <w:sz w:val="18"/>
          <w:szCs w:val="18"/>
        </w:rPr>
      </w:pPr>
      <w:r>
        <w:rPr>
          <w:sz w:val="18"/>
          <w:szCs w:val="18"/>
        </w:rPr>
        <w:t xml:space="preserve">INGREDIENSER </w:t>
      </w:r>
    </w:p>
    <w:p>
      <w:pPr>
        <w:pStyle w:val="Brdtextpress"/>
        <w:rPr/>
      </w:pPr>
      <w:r>
        <w:rPr>
          <w:b/>
          <w:bCs/>
          <w:i w:val="false"/>
          <w:caps w:val="false"/>
          <w:smallCaps w:val="false"/>
          <w:color w:val="auto"/>
          <w:spacing w:val="0"/>
          <w:sz w:val="18"/>
          <w:szCs w:val="18"/>
        </w:rPr>
        <w:t>Magnesiumcitrat</w:t>
      </w:r>
      <w:r>
        <w:rPr>
          <w:b w:val="false"/>
          <w:i w:val="false"/>
          <w:caps w:val="false"/>
          <w:smallCaps w:val="false"/>
          <w:color w:val="auto"/>
          <w:spacing w:val="0"/>
          <w:sz w:val="18"/>
          <w:szCs w:val="18"/>
        </w:rPr>
        <w:t xml:space="preserve">, vegetabilisk kapsel (cellulosa), </w:t>
      </w:r>
      <w:r>
        <w:rPr>
          <w:b/>
          <w:bCs/>
          <w:i w:val="false"/>
          <w:caps w:val="false"/>
          <w:smallCaps w:val="false"/>
          <w:color w:val="auto"/>
          <w:spacing w:val="0"/>
          <w:sz w:val="18"/>
          <w:szCs w:val="18"/>
        </w:rPr>
        <w:t>zinkmonometionin/aspartat, vitamin B6</w:t>
      </w:r>
      <w:r>
        <w:rPr>
          <w:b w:val="false"/>
          <w:i w:val="false"/>
          <w:caps w:val="false"/>
          <w:smallCaps w:val="false"/>
          <w:color w:val="auto"/>
          <w:spacing w:val="0"/>
          <w:sz w:val="18"/>
          <w:szCs w:val="18"/>
        </w:rPr>
        <w:t xml:space="preserve"> (pyridoxin-HCl), fyllnadsmedel (mikrokristallin cellulosa), klumpförebyggande medel (vegetabiliskt magnesiumstearat, kiseldioxid). </w:t>
      </w:r>
      <w:r>
        <w:rPr>
          <w:color w:val="auto"/>
          <w:sz w:val="18"/>
          <w:szCs w:val="18"/>
        </w:rPr>
        <w:t xml:space="preserve"> </w:t>
        <w:br/>
      </w:r>
      <w:r>
        <w:rPr>
          <w:b/>
          <w:bCs/>
          <w:color w:val="auto"/>
          <w:sz w:val="18"/>
          <w:szCs w:val="18"/>
        </w:rPr>
        <w:t>INNEHÅLL</w:t>
      </w:r>
    </w:p>
    <w:tbl>
      <w:tblPr>
        <w:tblW w:w="5100" w:type="dxa"/>
        <w:jc w:val="left"/>
        <w:tblInd w:w="0" w:type="dxa"/>
        <w:tblCellMar>
          <w:top w:w="55" w:type="dxa"/>
          <w:left w:w="55" w:type="dxa"/>
          <w:bottom w:w="55" w:type="dxa"/>
          <w:right w:w="55" w:type="dxa"/>
        </w:tblCellMar>
      </w:tblPr>
      <w:tblGrid>
        <w:gridCol w:w="1445"/>
        <w:gridCol w:w="1827"/>
        <w:gridCol w:w="1828"/>
      </w:tblGrid>
      <w:tr>
        <w:trPr/>
        <w:tc>
          <w:tcPr>
            <w:tcW w:w="1445" w:type="dxa"/>
            <w:tcBorders>
              <w:top w:val="single" w:sz="2" w:space="0" w:color="000000"/>
              <w:left w:val="single" w:sz="2" w:space="0" w:color="000000"/>
              <w:bottom w:val="single" w:sz="2" w:space="0" w:color="000000"/>
            </w:tcBorders>
            <w:shd w:fill="auto" w:val="clear"/>
          </w:tcPr>
          <w:p>
            <w:pPr>
              <w:pStyle w:val="Tabellinnehll"/>
              <w:spacing w:before="0" w:after="160"/>
              <w:rPr/>
            </w:pPr>
            <w:r>
              <w:rPr>
                <w:b/>
                <w:bCs/>
                <w:sz w:val="16"/>
                <w:szCs w:val="16"/>
              </w:rPr>
              <w:t xml:space="preserve">Innehåll per </w:t>
            </w:r>
          </w:p>
        </w:tc>
        <w:tc>
          <w:tcPr>
            <w:tcW w:w="1827" w:type="dxa"/>
            <w:tcBorders>
              <w:top w:val="single" w:sz="2" w:space="0" w:color="000000"/>
              <w:left w:val="single" w:sz="2" w:space="0" w:color="000000"/>
              <w:bottom w:val="single" w:sz="2" w:space="0" w:color="000000"/>
            </w:tcBorders>
            <w:shd w:fill="auto" w:val="clear"/>
          </w:tcPr>
          <w:p>
            <w:pPr>
              <w:pStyle w:val="Tabellinnehll"/>
              <w:spacing w:before="0" w:after="160"/>
              <w:rPr/>
            </w:pPr>
            <w:r>
              <w:rPr>
                <w:b/>
                <w:bCs/>
                <w:sz w:val="16"/>
                <w:szCs w:val="16"/>
              </w:rPr>
              <w:t>2 kapslar</w:t>
            </w:r>
          </w:p>
        </w:tc>
        <w:tc>
          <w:tcPr>
            <w:tcW w:w="1828" w:type="dxa"/>
            <w:tcBorders>
              <w:top w:val="single" w:sz="2" w:space="0" w:color="000000"/>
              <w:left w:val="single" w:sz="2" w:space="0" w:color="000000"/>
              <w:bottom w:val="single" w:sz="2" w:space="0" w:color="000000"/>
              <w:right w:val="single" w:sz="2" w:space="0" w:color="000000"/>
            </w:tcBorders>
            <w:shd w:fill="auto" w:val="clear"/>
          </w:tcPr>
          <w:p>
            <w:pPr>
              <w:pStyle w:val="Tabellinnehll"/>
              <w:spacing w:before="0" w:after="160"/>
              <w:rPr/>
            </w:pPr>
            <w:r>
              <w:rPr>
                <w:b/>
                <w:bCs/>
                <w:sz w:val="16"/>
                <w:szCs w:val="16"/>
              </w:rPr>
              <w:t>3 kapslar</w:t>
            </w:r>
          </w:p>
        </w:tc>
      </w:tr>
      <w:tr>
        <w:trPr/>
        <w:tc>
          <w:tcPr>
            <w:tcW w:w="1445" w:type="dxa"/>
            <w:tcBorders>
              <w:left w:val="single" w:sz="2" w:space="0" w:color="000000"/>
              <w:bottom w:val="single" w:sz="2" w:space="0" w:color="000000"/>
            </w:tcBorders>
            <w:shd w:fill="auto" w:val="clear"/>
          </w:tcPr>
          <w:p>
            <w:pPr>
              <w:pStyle w:val="Tabellinnehll"/>
              <w:spacing w:before="0" w:after="160"/>
              <w:rPr/>
            </w:pPr>
            <w:r>
              <w:rPr>
                <w:sz w:val="16"/>
                <w:szCs w:val="16"/>
              </w:rPr>
              <w:t>Magnesium</w:t>
            </w:r>
          </w:p>
        </w:tc>
        <w:tc>
          <w:tcPr>
            <w:tcW w:w="1827" w:type="dxa"/>
            <w:tcBorders>
              <w:left w:val="single" w:sz="2" w:space="0" w:color="000000"/>
              <w:bottom w:val="single" w:sz="2" w:space="0" w:color="000000"/>
            </w:tcBorders>
            <w:shd w:fill="auto" w:val="clear"/>
          </w:tcPr>
          <w:p>
            <w:pPr>
              <w:pStyle w:val="Tabellinnehll"/>
              <w:spacing w:before="0" w:after="160"/>
              <w:rPr/>
            </w:pPr>
            <w:r>
              <w:rPr>
                <w:sz w:val="16"/>
                <w:szCs w:val="16"/>
              </w:rPr>
              <w:t>300 mg (80%*)</w:t>
            </w:r>
          </w:p>
        </w:tc>
        <w:tc>
          <w:tcPr>
            <w:tcW w:w="1828" w:type="dxa"/>
            <w:tcBorders>
              <w:left w:val="single" w:sz="2" w:space="0" w:color="000000"/>
              <w:bottom w:val="single" w:sz="2" w:space="0" w:color="000000"/>
              <w:right w:val="single" w:sz="2" w:space="0" w:color="000000"/>
            </w:tcBorders>
            <w:shd w:fill="auto" w:val="clear"/>
          </w:tcPr>
          <w:p>
            <w:pPr>
              <w:pStyle w:val="Tabellinnehll"/>
              <w:spacing w:before="0" w:after="160"/>
              <w:rPr/>
            </w:pPr>
            <w:r>
              <w:rPr>
                <w:sz w:val="16"/>
                <w:szCs w:val="16"/>
              </w:rPr>
              <w:t>450 mg (120%*)</w:t>
            </w:r>
          </w:p>
        </w:tc>
      </w:tr>
      <w:tr>
        <w:trPr/>
        <w:tc>
          <w:tcPr>
            <w:tcW w:w="1445" w:type="dxa"/>
            <w:tcBorders>
              <w:left w:val="single" w:sz="2" w:space="0" w:color="000000"/>
              <w:bottom w:val="single" w:sz="2" w:space="0" w:color="000000"/>
            </w:tcBorders>
            <w:shd w:fill="auto" w:val="clear"/>
          </w:tcPr>
          <w:p>
            <w:pPr>
              <w:pStyle w:val="Tabellinnehll"/>
              <w:spacing w:before="0" w:after="160"/>
              <w:rPr/>
            </w:pPr>
            <w:r>
              <w:rPr>
                <w:sz w:val="16"/>
                <w:szCs w:val="16"/>
              </w:rPr>
              <w:t>Zink</w:t>
            </w:r>
          </w:p>
        </w:tc>
        <w:tc>
          <w:tcPr>
            <w:tcW w:w="1827" w:type="dxa"/>
            <w:tcBorders>
              <w:left w:val="single" w:sz="2" w:space="0" w:color="000000"/>
              <w:bottom w:val="single" w:sz="2" w:space="0" w:color="000000"/>
            </w:tcBorders>
            <w:shd w:fill="auto" w:val="clear"/>
          </w:tcPr>
          <w:p>
            <w:pPr>
              <w:pStyle w:val="Tabellinnehll"/>
              <w:spacing w:before="0" w:after="160"/>
              <w:rPr/>
            </w:pPr>
            <w:r>
              <w:rPr>
                <w:sz w:val="16"/>
                <w:szCs w:val="16"/>
              </w:rPr>
              <w:t>20 mg (200%*)</w:t>
            </w:r>
          </w:p>
        </w:tc>
        <w:tc>
          <w:tcPr>
            <w:tcW w:w="1828" w:type="dxa"/>
            <w:tcBorders>
              <w:left w:val="single" w:sz="2" w:space="0" w:color="000000"/>
              <w:bottom w:val="single" w:sz="2" w:space="0" w:color="000000"/>
              <w:right w:val="single" w:sz="2" w:space="0" w:color="000000"/>
            </w:tcBorders>
            <w:shd w:fill="auto" w:val="clear"/>
          </w:tcPr>
          <w:p>
            <w:pPr>
              <w:pStyle w:val="Tabellinnehll"/>
              <w:spacing w:before="0" w:after="160"/>
              <w:rPr/>
            </w:pPr>
            <w:r>
              <w:rPr>
                <w:sz w:val="16"/>
                <w:szCs w:val="16"/>
              </w:rPr>
              <w:t>30 mg (300%*)</w:t>
            </w:r>
          </w:p>
        </w:tc>
      </w:tr>
      <w:tr>
        <w:trPr/>
        <w:tc>
          <w:tcPr>
            <w:tcW w:w="1445" w:type="dxa"/>
            <w:tcBorders>
              <w:left w:val="single" w:sz="2" w:space="0" w:color="000000"/>
              <w:bottom w:val="single" w:sz="2" w:space="0" w:color="000000"/>
            </w:tcBorders>
            <w:shd w:fill="auto" w:val="clear"/>
          </w:tcPr>
          <w:p>
            <w:pPr>
              <w:pStyle w:val="Tabellinnehll"/>
              <w:spacing w:before="0" w:after="160"/>
              <w:rPr/>
            </w:pPr>
            <w:r>
              <w:rPr>
                <w:sz w:val="16"/>
                <w:szCs w:val="16"/>
              </w:rPr>
              <w:t>Vitamin B6</w:t>
            </w:r>
          </w:p>
        </w:tc>
        <w:tc>
          <w:tcPr>
            <w:tcW w:w="1827" w:type="dxa"/>
            <w:tcBorders>
              <w:left w:val="single" w:sz="2" w:space="0" w:color="000000"/>
              <w:bottom w:val="single" w:sz="2" w:space="0" w:color="000000"/>
            </w:tcBorders>
            <w:shd w:fill="auto" w:val="clear"/>
          </w:tcPr>
          <w:p>
            <w:pPr>
              <w:pStyle w:val="Tabellinnehll"/>
              <w:spacing w:before="0" w:after="160"/>
              <w:rPr/>
            </w:pPr>
            <w:r>
              <w:rPr>
                <w:sz w:val="16"/>
                <w:szCs w:val="16"/>
              </w:rPr>
              <w:t>7 mg (500%*)</w:t>
            </w:r>
          </w:p>
        </w:tc>
        <w:tc>
          <w:tcPr>
            <w:tcW w:w="1828" w:type="dxa"/>
            <w:tcBorders>
              <w:left w:val="single" w:sz="2" w:space="0" w:color="000000"/>
              <w:bottom w:val="single" w:sz="2" w:space="0" w:color="000000"/>
              <w:right w:val="single" w:sz="2" w:space="0" w:color="000000"/>
            </w:tcBorders>
            <w:shd w:fill="auto" w:val="clear"/>
          </w:tcPr>
          <w:p>
            <w:pPr>
              <w:pStyle w:val="Tabellinnehll"/>
              <w:spacing w:before="0" w:after="160"/>
              <w:rPr/>
            </w:pPr>
            <w:r>
              <w:rPr>
                <w:sz w:val="16"/>
                <w:szCs w:val="16"/>
              </w:rPr>
              <w:t>10,5 mg (750%*)</w:t>
            </w:r>
          </w:p>
        </w:tc>
      </w:tr>
    </w:tbl>
    <w:p>
      <w:pPr>
        <w:pStyle w:val="Tabellfrteckningrubrik"/>
        <w:rPr/>
      </w:pPr>
      <w:r>
        <w:rPr>
          <w:rFonts w:ascii="Calibri" w:hAnsi="Calibri"/>
          <w:b w:val="false"/>
          <w:bCs w:val="false"/>
          <w:i/>
          <w:iCs/>
          <w:color w:val="auto"/>
          <w:sz w:val="16"/>
          <w:szCs w:val="16"/>
        </w:rPr>
        <w:t>* RDI</w:t>
        <w:br/>
      </w:r>
      <w:r>
        <w:rPr>
          <w:rFonts w:ascii="Arial" w:hAnsi="Arial"/>
          <w:sz w:val="18"/>
          <w:szCs w:val="18"/>
        </w:rPr>
        <w:br/>
      </w:r>
    </w:p>
    <w:p>
      <w:pPr>
        <w:pStyle w:val="Tabellfrteckningrubrik"/>
        <w:rPr/>
      </w:pPr>
      <w:r>
        <w:rPr>
          <w:rFonts w:ascii="Arial" w:hAnsi="Arial"/>
          <w:sz w:val="18"/>
          <w:szCs w:val="18"/>
        </w:rPr>
        <w:br/>
      </w:r>
    </w:p>
    <w:p>
      <w:pPr>
        <w:pStyle w:val="Rubrik4press"/>
        <w:rPr>
          <w:rStyle w:val="Starktbetonad"/>
          <w:sz w:val="16"/>
          <w:szCs w:val="16"/>
        </w:rPr>
      </w:pPr>
      <w:r>
        <w:rPr/>
      </w:r>
    </w:p>
    <w:p>
      <w:pPr>
        <w:pStyle w:val="Tabellfrteckningrubrik"/>
        <w:rPr>
          <w:rStyle w:val="Starktbetonad"/>
          <w:rFonts w:ascii="Arial" w:hAnsi="Arial"/>
          <w:sz w:val="16"/>
          <w:szCs w:val="16"/>
        </w:rPr>
      </w:pPr>
      <w:r>
        <w:rPr/>
      </w:r>
    </w:p>
    <w:p>
      <w:pPr>
        <w:pStyle w:val="Tabellfrteckningrubrik"/>
        <w:rPr>
          <w:rStyle w:val="Starktbetonad"/>
          <w:rFonts w:ascii="Arial" w:hAnsi="Arial"/>
          <w:sz w:val="16"/>
          <w:szCs w:val="16"/>
        </w:rPr>
      </w:pPr>
      <w:r>
        <w:rPr/>
      </w:r>
    </w:p>
    <w:p>
      <w:pPr>
        <w:pStyle w:val="Tabellfrteckningrubrik"/>
        <w:rPr>
          <w:rStyle w:val="Starktbetonad"/>
          <w:rFonts w:ascii="Arial" w:hAnsi="Arial"/>
          <w:sz w:val="16"/>
          <w:szCs w:val="16"/>
        </w:rPr>
      </w:pPr>
      <w:r>
        <w:rPr/>
      </w:r>
    </w:p>
    <w:p>
      <w:pPr>
        <w:pStyle w:val="Tabellfrteckningrubrik"/>
        <w:rPr/>
      </w:pPr>
      <w:r>
        <w:rPr>
          <w:rStyle w:val="Starktbetonad"/>
          <w:rFonts w:ascii="Arial" w:hAnsi="Arial"/>
          <w:sz w:val="18"/>
          <w:szCs w:val="18"/>
        </w:rPr>
        <w:t>FÖRVARING</w:t>
        <w:br/>
      </w:r>
      <w:r>
        <w:rPr>
          <w:rStyle w:val="Starktbetonad"/>
          <w:rFonts w:ascii="Arial" w:hAnsi="Arial"/>
          <w:b w:val="false"/>
          <w:bCs w:val="false"/>
          <w:sz w:val="18"/>
          <w:szCs w:val="18"/>
        </w:rPr>
        <w:t>Torrt, svalt, väl förslutet och oåtkomligt för barn.</w:t>
      </w:r>
    </w:p>
    <w:p>
      <w:pPr>
        <w:pStyle w:val="Rubrik4press"/>
        <w:rPr/>
      </w:pPr>
      <w:r>
        <w:rPr>
          <w:rStyle w:val="Starktbetonad"/>
          <w:sz w:val="18"/>
          <w:szCs w:val="18"/>
        </w:rPr>
        <w:t xml:space="preserve">KOSTTILLSKOTT </w:t>
        <w:br/>
      </w:r>
      <w:r>
        <w:rPr>
          <w:b w:val="false"/>
          <w:bCs w:val="false"/>
          <w:sz w:val="18"/>
          <w:szCs w:val="18"/>
        </w:rPr>
        <w:t>Rekommenderad dagsdos ska ej överskridas. Bör inte användas som alternativ till en varierad kost. Förvaras utom räckhåll för barn</w:t>
      </w:r>
      <w:r>
        <w:rPr>
          <w:sz w:val="18"/>
          <w:szCs w:val="18"/>
        </w:rPr>
        <w:t>.</w:t>
      </w:r>
    </w:p>
    <w:p>
      <w:pPr>
        <w:pStyle w:val="Rubrik4press"/>
        <w:rPr>
          <w:sz w:val="18"/>
          <w:szCs w:val="18"/>
        </w:rPr>
      </w:pPr>
      <w:r>
        <w:rPr>
          <w:sz w:val="18"/>
          <w:szCs w:val="18"/>
        </w:rPr>
        <w:t xml:space="preserve">KVALITETSGARANTI </w:t>
        <w:br/>
      </w:r>
      <w:r>
        <w:rPr>
          <w:b w:val="false"/>
          <w:bCs w:val="false"/>
          <w:sz w:val="18"/>
          <w:szCs w:val="18"/>
        </w:rPr>
        <w:t>Producerad i Sverige enligt rådande EU-normer.</w:t>
      </w:r>
    </w:p>
    <w:p>
      <w:pPr>
        <w:pStyle w:val="Tabellfrteckningrubrik"/>
        <w:spacing w:before="240" w:after="120"/>
        <w:rPr/>
      </w:pPr>
      <w:r>
        <w:rPr>
          <w:sz w:val="24"/>
          <w:szCs w:val="24"/>
        </w:rPr>
        <w:br/>
        <w:br/>
      </w:r>
    </w:p>
    <w:sectPr>
      <w:headerReference w:type="default" r:id="rId2"/>
      <w:footerReference w:type="default" r:id="rId3"/>
      <w:type w:val="nextPage"/>
      <w:pgSz w:w="11906" w:h="16838"/>
      <w:pgMar w:left="1440" w:right="1440" w:header="708" w:top="1440" w:footer="1440" w:bottom="19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2022-09-14</w:t>
    </w:r>
  </w:p>
  <w:p>
    <w:pPr>
      <w:pStyle w:val="Sidhuvud"/>
      <w:rPr/>
    </w:pPr>
    <w:r>
      <w:rPr/>
      <w:tab/>
      <w:tab/>
      <w:t>Produktblad: ZMA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Rubrik2"/>
      <w:numFmt w:val="none"/>
      <w:suff w:val="nothing"/>
      <w:lvlText w:val=""/>
      <w:lvlJc w:val="left"/>
      <w:pPr>
        <w:ind w:left="0" w:hanging="0"/>
      </w:pPr>
    </w:lvl>
    <w:lvl w:ilvl="2">
      <w:start w:val="1"/>
      <w:pStyle w:val="Rubrik3"/>
      <w:numFmt w:val="none"/>
      <w:suff w:val="nothing"/>
      <w:lvlText w:val=""/>
      <w:lvlJc w:val="left"/>
      <w:pPr>
        <w:ind w:left="0" w:hanging="0"/>
      </w:pPr>
    </w:lvl>
    <w:lvl w:ilvl="3">
      <w:start w:val="1"/>
      <w:numFmt w:val="none"/>
      <w:suff w:val="nothing"/>
      <w:lvlText w:val=""/>
      <w:lvlJc w:val="left"/>
      <w:pPr>
        <w:ind w:left="0" w:hanging="0"/>
      </w:pPr>
    </w:lvl>
    <w:lvl w:ilvl="4">
      <w:start w:val="1"/>
      <w:pStyle w:val="Rubrik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link w:val="Sidhuvud"/>
    <w:uiPriority w:val="99"/>
    <w:qFormat/>
    <w:rsid w:val="00287257"/>
    <w:rPr/>
  </w:style>
  <w:style w:type="character" w:styleId="SidfotChar" w:customStyle="1">
    <w:name w:val="Sidfot Char"/>
    <w:basedOn w:val="DefaultParagraphFont"/>
    <w:link w:val="Sidfot"/>
    <w:uiPriority w:val="99"/>
    <w:qFormat/>
    <w:rsid w:val="00287257"/>
    <w:rPr/>
  </w:style>
  <w:style w:type="character" w:styleId="Starktbetonad">
    <w:name w:val="Starkt betonad"/>
    <w:qFormat/>
    <w:rPr>
      <w:b/>
      <w:bCs/>
    </w:rPr>
  </w:style>
  <w:style w:type="character" w:styleId="Internetlnk">
    <w:name w:val="Internetlänk"/>
    <w:rPr>
      <w:color w:val="000080"/>
      <w:u w:val="single"/>
      <w:lang w:val="zxx" w:eastAsia="zxx" w:bidi="zxx"/>
    </w:rPr>
  </w:style>
  <w:style w:type="character" w:styleId="ListLabel1">
    <w:name w:val="ListLabel 1"/>
    <w:qFormat/>
    <w:rPr>
      <w:sz w:val="16"/>
      <w:szCs w:val="16"/>
    </w:rPr>
  </w:style>
  <w:style w:type="character" w:styleId="ListLabel2">
    <w:name w:val="ListLabel 2"/>
    <w:qFormat/>
    <w:rPr>
      <w:sz w:val="16"/>
      <w:szCs w:val="16"/>
    </w:rPr>
  </w:style>
  <w:style w:type="character" w:styleId="ListLabel3">
    <w:name w:val="ListLabel 3"/>
    <w:qFormat/>
    <w:rPr>
      <w:sz w:val="16"/>
      <w:szCs w:val="16"/>
    </w:rPr>
  </w:style>
  <w:style w:type="character" w:styleId="ListLabel4">
    <w:name w:val="ListLabel 4"/>
    <w:qFormat/>
    <w:rPr>
      <w:sz w:val="16"/>
      <w:szCs w:val="16"/>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tru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Tabellinnehll">
    <w:name w:val="Tabellinnehåll"/>
    <w:basedOn w:val="Normal"/>
    <w:qFormat/>
    <w:pPr>
      <w:suppressLineNumbers/>
    </w:pPr>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Application>LibreOffice/6.2.5.2$Windows_X86_64 LibreOffice_project/1ec314fa52f458adc18c4f025c545a4e8b22c159</Application>
  <Pages>2</Pages>
  <Words>244</Words>
  <Characters>1583</Characters>
  <CharactersWithSpaces>1866</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cp:lastPrinted>2022-09-26T15:47:53Z</cp:lastPrinted>
  <dcterms:modified xsi:type="dcterms:W3CDTF">2022-11-15T11:50:54Z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